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R4-2219373</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FR2 multi-band operation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RP-221001</w:t>
      </w:r>
      <w:r>
        <w:rPr>
          <w:rFonts w:hint="eastAsia" w:cs="Times New Roman"/>
          <w:kern w:val="2"/>
          <w:sz w:val="21"/>
          <w:szCs w:val="22"/>
          <w:highlight w:val="none"/>
          <w:lang w:val="en-US" w:eastAsia="zh-CN" w:bidi="ar-SA"/>
        </w:rPr>
        <w:t xml:space="preserve">] on </w:t>
      </w:r>
      <w:r>
        <w:rPr>
          <w:rFonts w:hint="eastAsia"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tudy on NR BS RF requirement evolution</w:t>
      </w:r>
      <w:r>
        <w:rPr>
          <w:rFonts w:hint="eastAsia" w:cs="Times New Roman"/>
          <w:kern w:val="2"/>
          <w:sz w:val="21"/>
          <w:szCs w:val="22"/>
          <w:highlight w:val="none"/>
          <w:lang w:val="en-US" w:eastAsia="zh-CN" w:bidi="ar-SA"/>
        </w:rPr>
        <w:t xml:space="preserve"> was approved as one of Rel-18 RAN4 package. During the last RAN4 meeting, we have some initial discussions and reached some high level guidance for further discussions. In this contribution, we want to share some further understandings on the multi-band RIB in FR2.</w:t>
      </w:r>
    </w:p>
    <w:p>
      <w:pPr>
        <w:pStyle w:val="34"/>
        <w:keepNext w:val="0"/>
        <w:keepLines w:val="0"/>
        <w:pageBreakBefore w:val="0"/>
        <w:widowControl w:val="0"/>
        <w:numPr>
          <w:ilvl w:val="0"/>
          <w:numId w:val="2"/>
        </w:numPr>
        <w:kinsoku/>
        <w:wordWrap/>
        <w:topLinePunct w:val="0"/>
        <w:bidi w:val="0"/>
        <w:snapToGrid/>
        <w:spacing w:line="276" w:lineRule="auto"/>
        <w:ind w:left="0" w:firstLine="211" w:firstLineChars="100"/>
        <w:rPr>
          <w:b/>
          <w:bCs/>
        </w:rPr>
      </w:pPr>
      <w:r>
        <w:rPr>
          <w:b/>
          <w:bCs/>
        </w:rPr>
        <w:t xml:space="preserve">Agreement: </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180"/>
        <w:ind w:left="0" w:firstLine="210" w:firstLineChars="100"/>
        <w:textAlignment w:val="baseline"/>
        <w:rPr>
          <w:rFonts w:eastAsiaTheme="minorEastAsia"/>
          <w:highlight w:val="none"/>
        </w:rPr>
      </w:pPr>
      <w:r>
        <w:rPr>
          <w:rFonts w:eastAsiaTheme="minorEastAsia"/>
          <w:color w:val="000000" w:themeColor="text1"/>
          <w:highlight w:val="none"/>
          <w14:textFill>
            <w14:solidFill>
              <w14:schemeClr w14:val="tx1"/>
            </w14:solidFill>
          </w14:textFill>
        </w:rPr>
        <w:t>To in</w:t>
      </w:r>
      <w:r>
        <w:rPr>
          <w:rFonts w:eastAsiaTheme="minorEastAsia"/>
          <w:highlight w:val="none"/>
        </w:rPr>
        <w:t xml:space="preserve">vestigate if </w:t>
      </w:r>
      <w:r>
        <w:rPr>
          <w:rFonts w:eastAsia="等线"/>
          <w:highlight w:val="none"/>
        </w:rPr>
        <w:t>the FR1 definition of multi-band RIB can be re-used for FR2</w:t>
      </w:r>
    </w:p>
    <w:p>
      <w:pPr>
        <w:pStyle w:val="34"/>
        <w:keepNext w:val="0"/>
        <w:keepLines w:val="0"/>
        <w:pageBreakBefore w:val="0"/>
        <w:widowControl w:val="0"/>
        <w:numPr>
          <w:ilvl w:val="0"/>
          <w:numId w:val="3"/>
        </w:numPr>
        <w:kinsoku/>
        <w:wordWrap/>
        <w:overflowPunct w:val="0"/>
        <w:topLinePunct w:val="0"/>
        <w:autoSpaceDE w:val="0"/>
        <w:autoSpaceDN w:val="0"/>
        <w:bidi w:val="0"/>
        <w:adjustRightInd w:val="0"/>
        <w:snapToGrid/>
        <w:spacing w:after="180"/>
        <w:ind w:left="0" w:firstLine="210" w:firstLineChars="100"/>
        <w:textAlignment w:val="baseline"/>
        <w:rPr>
          <w:rFonts w:eastAsiaTheme="minorEastAsia"/>
          <w:highlight w:val="none"/>
        </w:rPr>
      </w:pPr>
      <w:r>
        <w:rPr>
          <w:rFonts w:eastAsiaTheme="minorEastAsia"/>
          <w:highlight w:val="none"/>
        </w:rPr>
        <w:t xml:space="preserve">To revisit the definition of multi-band BS for FR2, and clarify whether the following scenarios should be considered as </w:t>
      </w:r>
      <w:r>
        <w:rPr>
          <w:rFonts w:eastAsia="等线"/>
          <w:highlight w:val="none"/>
        </w:rPr>
        <w:t xml:space="preserve">multi-band BS </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Multi-band transmitter and/or receiver with common active RF components</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 xml:space="preserve">Single-band transmitter and receiver </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Configurable BS for different bands with the same hardware</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full-band or sub-band of band A and band B</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consecutive spectrums with different band number, for example, n258+n261</w:t>
      </w:r>
    </w:p>
    <w:p>
      <w:pPr>
        <w:pStyle w:val="34"/>
        <w:keepNext w:val="0"/>
        <w:keepLines w:val="0"/>
        <w:pageBreakBefore w:val="0"/>
        <w:widowControl w:val="0"/>
        <w:numPr>
          <w:ilvl w:val="0"/>
          <w:numId w:val="4"/>
        </w:numPr>
        <w:kinsoku/>
        <w:wordWrap/>
        <w:topLinePunct w:val="0"/>
        <w:bidi w:val="0"/>
        <w:snapToGrid/>
        <w:ind w:left="0" w:firstLine="210" w:firstLineChars="100"/>
        <w:rPr>
          <w:rFonts w:eastAsiaTheme="minorEastAsia"/>
          <w:highlight w:val="none"/>
        </w:rPr>
      </w:pPr>
      <w:r>
        <w:rPr>
          <w:rFonts w:eastAsiaTheme="minorEastAsia"/>
          <w:highlight w:val="none"/>
        </w:rPr>
        <w:t>BS covers overlapping spectrums with different band number, for example, n258+n257</w:t>
      </w:r>
    </w:p>
    <w:p>
      <w:pPr>
        <w:pStyle w:val="34"/>
        <w:keepNext w:val="0"/>
        <w:keepLines w:val="0"/>
        <w:pageBreakBefore w:val="0"/>
        <w:widowControl w:val="0"/>
        <w:numPr>
          <w:ilvl w:val="0"/>
          <w:numId w:val="5"/>
        </w:numPr>
        <w:kinsoku/>
        <w:wordWrap/>
        <w:overflowPunct w:val="0"/>
        <w:topLinePunct w:val="0"/>
        <w:autoSpaceDE w:val="0"/>
        <w:autoSpaceDN w:val="0"/>
        <w:bidi w:val="0"/>
        <w:adjustRightInd w:val="0"/>
        <w:snapToGrid/>
        <w:spacing w:line="276" w:lineRule="auto"/>
        <w:ind w:left="0" w:firstLine="210" w:firstLineChars="100"/>
        <w:textAlignment w:val="baseline"/>
        <w:rPr>
          <w:highlight w:val="none"/>
        </w:rPr>
      </w:pPr>
      <w:r>
        <w:rPr>
          <w:highlight w:val="none"/>
        </w:rPr>
        <w:t xml:space="preserve">FFS whether need to introduce the definition of multi-band BS for FR2 into specification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r>
        <w:rPr>
          <w:rFonts w:hint="eastAsia" w:eastAsia="Times New Roman"/>
          <w:highlight w:val="none"/>
          <w:lang w:val="en-US" w:eastAsia="zh-CN"/>
        </w:rPr>
        <w:t xml:space="preserve"> </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The motivation to support FR2 multi-band gNB could be understandable since there were some inter-band combinations already supported in TS38.101-2, it </w:t>
      </w:r>
      <w:r>
        <w:rPr>
          <w:rFonts w:hint="eastAsia" w:eastAsia="Times New Roman" w:cs="Times New Roman"/>
          <w:kern w:val="0"/>
          <w:sz w:val="20"/>
          <w:szCs w:val="20"/>
          <w:highlight w:val="none"/>
          <w:lang w:val="en-US" w:eastAsia="zh-CN" w:bidi="ar-SA"/>
        </w:rPr>
        <w:t xml:space="preserve">seems </w:t>
      </w:r>
      <w:r>
        <w:rPr>
          <w:rFonts w:hint="eastAsia" w:ascii="Times New Roman" w:hAnsi="Times New Roman" w:eastAsia="Times New Roman" w:cs="Times New Roman"/>
          <w:kern w:val="0"/>
          <w:sz w:val="20"/>
          <w:szCs w:val="20"/>
          <w:highlight w:val="none"/>
          <w:lang w:val="en-US" w:eastAsia="zh-CN" w:bidi="ar-SA"/>
        </w:rPr>
        <w:t xml:space="preserve">reasonable to have multi-band </w:t>
      </w:r>
      <w:r>
        <w:rPr>
          <w:rFonts w:hint="eastAsia" w:eastAsia="Times New Roman" w:cs="Times New Roman"/>
          <w:kern w:val="0"/>
          <w:sz w:val="20"/>
          <w:szCs w:val="20"/>
          <w:highlight w:val="none"/>
          <w:lang w:val="en-US" w:eastAsia="zh-CN" w:bidi="ar-SA"/>
        </w:rPr>
        <w:t>RIB/gNB</w:t>
      </w:r>
      <w:r>
        <w:rPr>
          <w:rFonts w:hint="eastAsia" w:ascii="Times New Roman" w:hAnsi="Times New Roman" w:eastAsia="Times New Roman" w:cs="Times New Roman"/>
          <w:kern w:val="0"/>
          <w:sz w:val="20"/>
          <w:szCs w:val="20"/>
          <w:highlight w:val="none"/>
          <w:lang w:val="en-US" w:eastAsia="zh-CN" w:bidi="ar-SA"/>
        </w:rPr>
        <w:t xml:space="preserve"> in FR2, however</w:t>
      </w:r>
      <w:r>
        <w:rPr>
          <w:rFonts w:hint="eastAsia" w:eastAsia="Times New Roman" w:cs="Times New Roman"/>
          <w:kern w:val="0"/>
          <w:sz w:val="20"/>
          <w:szCs w:val="20"/>
          <w:highlight w:val="none"/>
          <w:lang w:val="en-US" w:eastAsia="zh-CN" w:bidi="ar-SA"/>
        </w:rPr>
        <w:t xml:space="preserve"> as indicated in the objective we need to investigate the feasibility and performance of wideband RF, phase shifter and antenna architecture covering multiple FR2 bands e.g. </w:t>
      </w:r>
      <w:r>
        <w:rPr>
          <w:rFonts w:hint="eastAsia" w:ascii="Times New Roman" w:hAnsi="Times New Roman" w:eastAsia="Times New Roman" w:cs="Times New Roman"/>
          <w:kern w:val="0"/>
          <w:sz w:val="20"/>
          <w:szCs w:val="20"/>
          <w:highlight w:val="none"/>
          <w:lang w:val="en-US" w:eastAsia="zh-CN" w:bidi="ar-SA"/>
        </w:rPr>
        <w:t>whether</w:t>
      </w:r>
      <w:r>
        <w:rPr>
          <w:rFonts w:hint="eastAsia" w:eastAsia="Times New Roman" w:cs="Times New Roman"/>
          <w:kern w:val="0"/>
          <w:sz w:val="20"/>
          <w:szCs w:val="20"/>
          <w:highlight w:val="none"/>
          <w:lang w:val="en-US" w:eastAsia="zh-CN" w:bidi="ar-SA"/>
        </w:rPr>
        <w:t xml:space="preserve">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feasible</w:t>
      </w:r>
      <w:r>
        <w:rPr>
          <w:rFonts w:hint="eastAsia" w:ascii="Times New Roman" w:hAnsi="Times New Roman" w:eastAsia="Times New Roman" w:cs="Times New Roman"/>
          <w:kern w:val="0"/>
          <w:sz w:val="20"/>
          <w:szCs w:val="20"/>
          <w:highlight w:val="none"/>
          <w:lang w:val="en-US" w:eastAsia="zh-CN" w:bidi="ar-SA"/>
        </w:rPr>
        <w:t xml:space="preserve"> to support this multi-band operation in FR2 from hardware perspective and how to specify the requirement based on the baseline hardware assumption.</w:t>
      </w:r>
    </w:p>
    <w:p>
      <w:pPr>
        <w:rPr>
          <w:rFonts w:hint="eastAsia"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 xml:space="preserve">First of all, FR2 spectrum </w:t>
      </w:r>
      <w:r>
        <w:rPr>
          <w:rFonts w:hint="eastAsia" w:eastAsia="Times New Roman" w:cs="Times New Roman"/>
          <w:kern w:val="0"/>
          <w:sz w:val="20"/>
          <w:szCs w:val="20"/>
          <w:highlight w:val="none"/>
          <w:lang w:val="en-US" w:eastAsia="zh-CN" w:bidi="ar-SA"/>
        </w:rPr>
        <w:t>could</w:t>
      </w:r>
      <w:r>
        <w:rPr>
          <w:rFonts w:hint="eastAsia" w:ascii="Times New Roman" w:hAnsi="Times New Roman" w:eastAsia="Times New Roman" w:cs="Times New Roman"/>
          <w:kern w:val="0"/>
          <w:sz w:val="20"/>
          <w:szCs w:val="20"/>
          <w:highlight w:val="none"/>
          <w:lang w:val="en-US" w:eastAsia="zh-CN" w:bidi="ar-SA"/>
        </w:rPr>
        <w:t xml:space="preserve"> be group into two different frequency group as shown in Figure </w:t>
      </w:r>
      <w:r>
        <w:rPr>
          <w:rFonts w:hint="eastAsia" w:eastAsia="Times New Roman" w:cs="Times New Roman"/>
          <w:kern w:val="0"/>
          <w:sz w:val="20"/>
          <w:szCs w:val="20"/>
          <w:highlight w:val="none"/>
          <w:lang w:val="en-US" w:eastAsia="zh-CN" w:bidi="ar-SA"/>
        </w:rPr>
        <w:t>2.</w:t>
      </w:r>
      <w:r>
        <w:rPr>
          <w:rFonts w:hint="eastAsia" w:ascii="Times New Roman" w:hAnsi="Times New Roman" w:eastAsia="Times New Roman" w:cs="Times New Roman"/>
          <w:kern w:val="0"/>
          <w:sz w:val="20"/>
          <w:szCs w:val="20"/>
          <w:highlight w:val="none"/>
          <w:lang w:val="en-US" w:eastAsia="zh-CN" w:bidi="ar-SA"/>
        </w:rPr>
        <w:t xml:space="preserve">1. </w:t>
      </w:r>
      <w:r>
        <w:rPr>
          <w:rFonts w:hint="eastAsia" w:eastAsia="Times New Roman" w:cs="Times New Roman"/>
          <w:kern w:val="0"/>
          <w:sz w:val="20"/>
          <w:szCs w:val="20"/>
          <w:highlight w:val="none"/>
          <w:lang w:val="en-US" w:eastAsia="zh-CN" w:bidi="ar-SA"/>
        </w:rPr>
        <w:t xml:space="preserve">For the </w:t>
      </w:r>
      <w:r>
        <w:rPr>
          <w:rFonts w:hint="eastAsia" w:ascii="Times New Roman" w:hAnsi="Times New Roman" w:eastAsia="Times New Roman" w:cs="Times New Roman"/>
          <w:kern w:val="0"/>
          <w:sz w:val="20"/>
          <w:szCs w:val="20"/>
          <w:highlight w:val="none"/>
          <w:lang w:val="en-US" w:eastAsia="zh-CN" w:bidi="ar-SA"/>
        </w:rPr>
        <w:t xml:space="preserve">supported inter-band combination </w:t>
      </w:r>
      <w:r>
        <w:rPr>
          <w:rFonts w:hint="eastAsia" w:eastAsia="Times New Roman" w:cs="Times New Roman"/>
          <w:kern w:val="0"/>
          <w:sz w:val="20"/>
          <w:szCs w:val="20"/>
          <w:highlight w:val="none"/>
          <w:lang w:val="en-US" w:eastAsia="zh-CN" w:bidi="ar-SA"/>
        </w:rPr>
        <w:t>as documented in</w:t>
      </w:r>
      <w:r>
        <w:rPr>
          <w:rFonts w:hint="eastAsia" w:ascii="Times New Roman" w:hAnsi="Times New Roman" w:eastAsia="Times New Roman" w:cs="Times New Roman"/>
          <w:kern w:val="0"/>
          <w:sz w:val="20"/>
          <w:szCs w:val="20"/>
          <w:highlight w:val="none"/>
          <w:lang w:val="en-US" w:eastAsia="zh-CN" w:bidi="ar-SA"/>
        </w:rPr>
        <w:t xml:space="preserve"> TS 38.101-2</w:t>
      </w:r>
      <w:r>
        <w:rPr>
          <w:rFonts w:hint="eastAsia" w:eastAsia="Times New Roman" w:cs="Times New Roman"/>
          <w:kern w:val="0"/>
          <w:sz w:val="20"/>
          <w:szCs w:val="20"/>
          <w:highlight w:val="none"/>
          <w:lang w:val="en-US" w:eastAsia="zh-CN" w:bidi="ar-SA"/>
        </w:rPr>
        <w:t xml:space="preserve"> 17.6.0</w:t>
      </w:r>
      <w:r>
        <w:rPr>
          <w:rFonts w:hint="eastAsia" w:ascii="Times New Roman" w:hAnsi="Times New Roman" w:eastAsia="Times New Roman" w:cs="Times New Roman"/>
          <w:kern w:val="0"/>
          <w:sz w:val="20"/>
          <w:szCs w:val="20"/>
          <w:highlight w:val="none"/>
          <w:lang w:val="en-US" w:eastAsia="zh-CN" w:bidi="ar-SA"/>
        </w:rPr>
        <w:t xml:space="preserve">, the component operation bands </w:t>
      </w:r>
      <w:r>
        <w:rPr>
          <w:rFonts w:hint="eastAsia" w:eastAsia="Times New Roman" w:cs="Times New Roman"/>
          <w:kern w:val="0"/>
          <w:sz w:val="20"/>
          <w:szCs w:val="20"/>
          <w:highlight w:val="none"/>
          <w:lang w:val="en-US" w:eastAsia="zh-CN" w:bidi="ar-SA"/>
        </w:rPr>
        <w:t>could</w:t>
      </w:r>
      <w:r>
        <w:rPr>
          <w:rFonts w:hint="eastAsia" w:ascii="Times New Roman" w:hAnsi="Times New Roman" w:eastAsia="Times New Roman" w:cs="Times New Roman"/>
          <w:kern w:val="0"/>
          <w:sz w:val="20"/>
          <w:szCs w:val="20"/>
          <w:highlight w:val="none"/>
          <w:lang w:val="en-US" w:eastAsia="zh-CN" w:bidi="ar-SA"/>
        </w:rPr>
        <w:t xml:space="preserve"> com</w:t>
      </w:r>
      <w:r>
        <w:rPr>
          <w:rFonts w:hint="eastAsia" w:eastAsia="Times New Roman" w:cs="Times New Roman"/>
          <w:kern w:val="0"/>
          <w:sz w:val="20"/>
          <w:szCs w:val="20"/>
          <w:highlight w:val="none"/>
          <w:lang w:val="en-US" w:eastAsia="zh-CN" w:bidi="ar-SA"/>
        </w:rPr>
        <w:t>e</w:t>
      </w:r>
      <w:r>
        <w:rPr>
          <w:rFonts w:hint="eastAsia" w:ascii="Times New Roman" w:hAnsi="Times New Roman" w:eastAsia="Times New Roman" w:cs="Times New Roman"/>
          <w:kern w:val="0"/>
          <w:sz w:val="20"/>
          <w:szCs w:val="20"/>
          <w:highlight w:val="none"/>
          <w:lang w:val="en-US" w:eastAsia="zh-CN" w:bidi="ar-SA"/>
        </w:rPr>
        <w:t xml:space="preserve"> from different frequency group. </w:t>
      </w:r>
      <w:r>
        <w:rPr>
          <w:rFonts w:hint="eastAsia" w:eastAsia="Times New Roman" w:cs="Times New Roman"/>
          <w:kern w:val="0"/>
          <w:sz w:val="20"/>
          <w:szCs w:val="20"/>
          <w:highlight w:val="none"/>
          <w:lang w:val="en-US" w:eastAsia="zh-CN" w:bidi="ar-SA"/>
        </w:rPr>
        <w:t xml:space="preserve">For </w:t>
      </w:r>
      <w:r>
        <w:rPr>
          <w:rFonts w:hint="eastAsia" w:ascii="Times New Roman" w:hAnsi="Times New Roman" w:eastAsia="Times New Roman" w:cs="Times New Roman"/>
          <w:kern w:val="0"/>
          <w:sz w:val="20"/>
          <w:szCs w:val="20"/>
          <w:highlight w:val="none"/>
          <w:lang w:val="en-US" w:eastAsia="zh-CN" w:bidi="ar-SA"/>
        </w:rPr>
        <w:t>inter-band DL CA within same frequency group</w:t>
      </w:r>
      <w:r>
        <w:rPr>
          <w:rFonts w:hint="eastAsia" w:eastAsia="Times New Roman" w:cs="Times New Roman"/>
          <w:kern w:val="0"/>
          <w:sz w:val="20"/>
          <w:szCs w:val="20"/>
          <w:highlight w:val="none"/>
          <w:lang w:val="en-US" w:eastAsia="zh-CN" w:bidi="ar-SA"/>
        </w:rPr>
        <w:t xml:space="preserve">, there were some discussions on CBM within the same frequency group in Rel-17 FR2 UE RF enhancement, however there were no consensus reached on the RF requirement definition at the end for FR2 UE RF CBM requirement in Rel-17. </w:t>
      </w:r>
    </w:p>
    <w:p>
      <w:pP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In addition, based the specified FR2 inter-band CA until now, it seems that inter-band CA among different frequency groups draw more commercial interest from the operators and the corresponding UE RF requirement is also more complete, however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also quite clear that it</w:t>
      </w:r>
      <w:r>
        <w:rPr>
          <w:rFonts w:hint="default" w:eastAsia="Times New Roman" w:cs="Times New Roman"/>
          <w:kern w:val="0"/>
          <w:sz w:val="20"/>
          <w:szCs w:val="20"/>
          <w:highlight w:val="none"/>
          <w:lang w:val="en-US" w:eastAsia="zh-CN" w:bidi="ar-SA"/>
        </w:rPr>
        <w:t>’</w:t>
      </w:r>
      <w:r>
        <w:rPr>
          <w:rFonts w:hint="eastAsia" w:eastAsia="Times New Roman" w:cs="Times New Roman"/>
          <w:kern w:val="0"/>
          <w:sz w:val="20"/>
          <w:szCs w:val="20"/>
          <w:highlight w:val="none"/>
          <w:lang w:val="en-US" w:eastAsia="zh-CN" w:bidi="ar-SA"/>
        </w:rPr>
        <w:t>s more challenging to support the inter-band CA with multi-band operation at BS side.</w:t>
      </w:r>
    </w:p>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During the last RAN4 meeting, there were some comments that inter-band CA are different concept than multi-band operation in FR2. I also admit that, however we want to highlight here is that to support the inter-band CA with multi-band operation. </w:t>
      </w:r>
    </w:p>
    <w:p>
      <w:pPr>
        <w:rPr>
          <w:rFonts w:hint="default" w:ascii="Times New Roman" w:hAnsi="Times New Roman"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For inter-band CA within the same frequency group, it should be more easier due to its narrower supported frequency range, then it should be more easier to support it with multi-band operation at BS side, however it draw less commercial interest from the operators. </w:t>
      </w:r>
    </w:p>
    <w:p>
      <w:pPr>
        <w:spacing w:beforeLines="0" w:afterLines="0"/>
        <w:jc w:val="left"/>
        <w:rPr>
          <w:rFonts w:hint="eastAsia" w:eastAsia="宋体"/>
          <w:lang w:val="en-US" w:eastAsia="zh-CN"/>
        </w:rPr>
      </w:pPr>
      <w:r>
        <w:drawing>
          <wp:inline distT="0" distB="0" distL="114300" distR="114300">
            <wp:extent cx="6178550" cy="112395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78550" cy="1123950"/>
                    </a:xfrm>
                    <a:prstGeom prst="rect">
                      <a:avLst/>
                    </a:prstGeom>
                    <a:noFill/>
                    <a:ln>
                      <a:noFill/>
                    </a:ln>
                  </pic:spPr>
                </pic:pic>
              </a:graphicData>
            </a:graphic>
          </wp:inline>
        </w:drawing>
      </w:r>
    </w:p>
    <w:p>
      <w:pPr>
        <w:tabs>
          <w:tab w:val="left" w:pos="720"/>
        </w:tabs>
        <w:spacing w:after="0"/>
        <w:jc w:val="center"/>
        <w:rPr>
          <w:rStyle w:val="28"/>
          <w:rFonts w:hint="default" w:ascii="Times New Roman" w:hAnsi="Times New Roman" w:eastAsia="宋体" w:cs="Times New Roman"/>
          <w:i w:val="0"/>
          <w:color w:val="auto"/>
          <w:kern w:val="2"/>
          <w:sz w:val="20"/>
          <w:szCs w:val="20"/>
          <w:highlight w:val="none"/>
          <w:shd w:val="clear" w:color="auto" w:fill="FFFFFF"/>
          <w:lang w:val="en-US" w:eastAsia="zh-CN" w:bidi="ar-SA"/>
        </w:rPr>
      </w:pP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 xml:space="preserve">Figure </w:t>
      </w:r>
      <w:r>
        <w:rPr>
          <w:rStyle w:val="28"/>
          <w:rFonts w:hint="eastAsia" w:eastAsia="宋体" w:cs="Times New Roman"/>
          <w:b/>
          <w:bCs/>
          <w:i w:val="0"/>
          <w:color w:val="auto"/>
          <w:kern w:val="2"/>
          <w:sz w:val="20"/>
          <w:szCs w:val="20"/>
          <w:highlight w:val="none"/>
          <w:shd w:val="clear" w:color="auto" w:fill="FFFFFF"/>
          <w:lang w:val="en-US" w:eastAsia="zh-CN" w:bidi="ar-SA"/>
        </w:rPr>
        <w:t>2.</w:t>
      </w:r>
      <w:r>
        <w:rPr>
          <w:rStyle w:val="28"/>
          <w:rFonts w:hint="eastAsia" w:ascii="Times New Roman" w:hAnsi="Times New Roman" w:eastAsia="宋体" w:cs="Times New Roman"/>
          <w:b/>
          <w:bCs/>
          <w:i w:val="0"/>
          <w:color w:val="auto"/>
          <w:kern w:val="2"/>
          <w:sz w:val="20"/>
          <w:szCs w:val="20"/>
          <w:highlight w:val="none"/>
          <w:shd w:val="clear" w:color="auto" w:fill="FFFFFF"/>
          <w:lang w:val="en-US" w:eastAsia="zh-CN" w:bidi="ar-SA"/>
        </w:rPr>
        <w:t>1</w:t>
      </w:r>
      <w:r>
        <w:rPr>
          <w:rStyle w:val="28"/>
          <w:rFonts w:hint="eastAsia" w:ascii="Times New Roman" w:hAnsi="Times New Roman" w:eastAsia="宋体" w:cs="Times New Roman"/>
          <w:i w:val="0"/>
          <w:color w:val="auto"/>
          <w:kern w:val="2"/>
          <w:sz w:val="20"/>
          <w:szCs w:val="20"/>
          <w:highlight w:val="none"/>
          <w:shd w:val="clear" w:color="auto" w:fill="FFFFFF"/>
          <w:lang w:val="en-US" w:eastAsia="zh-CN" w:bidi="ar-SA"/>
        </w:rPr>
        <w:t>. the illustration of the existing FR2 band</w:t>
      </w:r>
    </w:p>
    <w:p>
      <w:pPr>
        <w:spacing w:beforeLines="0" w:afterLines="0"/>
        <w:jc w:val="left"/>
        <w:rPr>
          <w:rFonts w:hint="eastAsia"/>
          <w:sz w:val="24"/>
          <w:lang w:val="en-US" w:eastAsia="zh-CN"/>
        </w:rPr>
      </w:pPr>
    </w:p>
    <w:p>
      <w:pPr>
        <w:pStyle w:val="45"/>
        <w:rPr>
          <w:rFonts w:hint="eastAsia"/>
          <w:sz w:val="24"/>
          <w:lang w:val="en-US" w:eastAsia="zh-CN"/>
        </w:rPr>
      </w:pPr>
      <w:r>
        <w:t>Table 5.2A.2-1: Inter-band CA operating bands in FR2</w:t>
      </w:r>
      <w:r>
        <w:rPr>
          <w:rFonts w:hint="eastAsia"/>
          <w:lang w:val="en-US" w:eastAsia="zh-CN"/>
        </w:rPr>
        <w:t xml:space="preserve"> [TS 38.101-2]</w:t>
      </w:r>
    </w:p>
    <w:tbl>
      <w:tblPr>
        <w:tblStyle w:val="24"/>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5"/>
              <w:rPr>
                <w:rFonts w:eastAsia="MS Mincho"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NR Band</w:t>
            </w:r>
          </w:p>
          <w:p>
            <w:pPr>
              <w:pStyle w:val="35"/>
              <w:rPr>
                <w:rFonts w:eastAsia="MS Mincho"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CA_n257-n259</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CA_n258-n260</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rPr>
                <w:rFonts w:eastAsia="MS Mincho"/>
              </w:rPr>
            </w:pPr>
            <w:bookmarkStart w:id="5" w:name="OLE_LINK1"/>
            <w:r>
              <w:rPr>
                <w:rFonts w:eastAsia="MS Mincho"/>
              </w:rPr>
              <w:t>CA_n258-n261</w:t>
            </w:r>
            <w:r>
              <w:rPr>
                <w:rFonts w:hint="eastAsia"/>
                <w:vertAlign w:val="superscript"/>
                <w:lang w:val="en-US" w:eastAsia="zh-CN"/>
              </w:rPr>
              <w:t>1</w:t>
            </w:r>
            <w:bookmarkEnd w:id="5"/>
          </w:p>
        </w:tc>
        <w:tc>
          <w:tcPr>
            <w:tcW w:w="2497" w:type="dxa"/>
            <w:tcBorders>
              <w:top w:val="single" w:color="auto" w:sz="4" w:space="0"/>
              <w:left w:val="single" w:color="auto" w:sz="4" w:space="0"/>
              <w:bottom w:val="single" w:color="auto" w:sz="4" w:space="0"/>
              <w:right w:val="single" w:color="auto" w:sz="4" w:space="0"/>
            </w:tcBorders>
          </w:tcPr>
          <w:p>
            <w:pPr>
              <w:pStyle w:val="36"/>
              <w:rPr>
                <w:rFonts w:eastAsia="MS Mincho"/>
              </w:rPr>
            </w:pPr>
            <w:r>
              <w:t>n258,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36"/>
            </w:pPr>
            <w:r>
              <w:rPr>
                <w:rFonts w:eastAsia="MS Mincho"/>
              </w:rPr>
              <w:t>CA_n260-n261</w:t>
            </w:r>
            <w:r>
              <w:rPr>
                <w:rFonts w:hint="eastAsia"/>
                <w:vertAlign w:val="superscript"/>
                <w:lang w:val="en-US" w:eastAsia="zh-CN"/>
              </w:rPr>
              <w:t>1</w:t>
            </w:r>
          </w:p>
        </w:tc>
        <w:tc>
          <w:tcPr>
            <w:tcW w:w="2497" w:type="dxa"/>
            <w:tcBorders>
              <w:top w:val="single" w:color="auto" w:sz="4" w:space="0"/>
              <w:left w:val="single" w:color="auto" w:sz="4" w:space="0"/>
              <w:bottom w:val="single" w:color="auto" w:sz="4" w:space="0"/>
              <w:right w:val="single" w:color="auto" w:sz="4" w:space="0"/>
            </w:tcBorders>
          </w:tcPr>
          <w:p>
            <w:pPr>
              <w:pStyle w:val="36"/>
            </w:pPr>
            <w:r>
              <w:t>n260,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48"/>
            </w:pPr>
            <w:r>
              <w:rPr>
                <w:lang w:val="en-US" w:eastAsia="zh-CN"/>
              </w:rPr>
              <w:t xml:space="preserve">NOTE </w:t>
            </w:r>
            <w:r>
              <w:rPr>
                <w:rFonts w:hint="eastAsia"/>
                <w:lang w:val="en-US" w:eastAsia="zh-CN"/>
              </w:rPr>
              <w:t>1:</w:t>
            </w:r>
            <w:r>
              <w:tab/>
            </w:r>
            <w:r>
              <w:rPr>
                <w:lang w:val="en-US" w:eastAsia="zh-CN"/>
              </w:rPr>
              <w:t xml:space="preserve">The </w:t>
            </w:r>
            <w:r>
              <w:rPr>
                <w:rFonts w:hint="eastAsia"/>
                <w:lang w:val="en-US" w:eastAsia="zh-CN"/>
              </w:rPr>
              <w:t>minimum requirements apply only when there is non-simultaneous Rx/Tx operation between inter-band NR carriers in the current version of this specification.</w:t>
            </w:r>
          </w:p>
        </w:tc>
      </w:tr>
    </w:tbl>
    <w:p>
      <w:pPr>
        <w:spacing w:beforeLines="0" w:afterLines="0"/>
        <w:jc w:val="left"/>
        <w:rPr>
          <w:rFonts w:hint="eastAsia"/>
          <w:sz w:val="24"/>
          <w:lang w:val="en-US" w:eastAsia="zh-CN"/>
        </w:rPr>
      </w:pP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To support the inter-band CA with multi-band operation at BS side might 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within the same frequency group</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Easier due to its narrower supported frequency range</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Draw less commercial interest from the operators at least from supporting the inter-band CA with multi-band operation.</w:t>
            </w:r>
          </w:p>
          <w:p>
            <w:pPr>
              <w:spacing w:beforeLines="0" w:afterLines="0"/>
              <w:jc w:val="left"/>
              <w:rPr>
                <w:rFonts w:hint="default" w:eastAsia="Times New Roman" w:cs="Times New Roman"/>
                <w:kern w:val="0"/>
                <w:sz w:val="20"/>
                <w:szCs w:val="20"/>
                <w:highlight w:val="none"/>
                <w:lang w:val="en-US" w:eastAsia="zh-CN" w:bidi="ar-SA"/>
              </w:rPr>
            </w:pP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shd w:val="clear" w:color="auto" w:fill="auto"/>
          </w:tcPr>
          <w:p>
            <w:pPr>
              <w:spacing w:beforeLines="0" w:afterLines="0"/>
              <w:ind w:left="600" w:hanging="600" w:hangingChars="300"/>
              <w:jc w:val="left"/>
              <w:rPr>
                <w:rFonts w:hint="default"/>
                <w:sz w:val="24"/>
                <w:vertAlign w:val="baseline"/>
                <w:lang w:val="en-US" w:eastAsia="zh-CN"/>
              </w:rPr>
            </w:pPr>
            <w:r>
              <w:rPr>
                <w:rFonts w:hint="eastAsia" w:eastAsia="Times New Roman"/>
                <w:kern w:val="0"/>
                <w:sz w:val="20"/>
                <w:szCs w:val="20"/>
                <w:highlight w:val="none"/>
                <w:vertAlign w:val="baseline"/>
                <w:lang w:val="en-US" w:eastAsia="zh-CN"/>
              </w:rPr>
              <w:t>Note 1: not sure to support the different bands from different operators with multi-band operation is practical implementation. Based on the legacy design, the AAU equipment is more or less targeted to single operator</w:t>
            </w:r>
            <w:r>
              <w:rPr>
                <w:rFonts w:hint="default" w:eastAsia="Times New Roman"/>
                <w:kern w:val="0"/>
                <w:sz w:val="20"/>
                <w:szCs w:val="20"/>
                <w:highlight w:val="none"/>
                <w:vertAlign w:val="baseline"/>
                <w:lang w:val="en-US" w:eastAsia="zh-CN"/>
              </w:rPr>
              <w:t>’</w:t>
            </w:r>
            <w:r>
              <w:rPr>
                <w:rFonts w:hint="eastAsia" w:eastAsia="Times New Roman"/>
                <w:kern w:val="0"/>
                <w:sz w:val="20"/>
                <w:szCs w:val="20"/>
                <w:highlight w:val="none"/>
                <w:vertAlign w:val="baseline"/>
                <w:lang w:val="en-US" w:eastAsia="zh-CN"/>
              </w:rPr>
              <w:t xml:space="preserve">s holding spectrum. </w:t>
            </w:r>
          </w:p>
        </w:tc>
      </w:tr>
    </w:tbl>
    <w:p>
      <w:pPr>
        <w:spacing w:beforeLines="0" w:afterLines="0"/>
        <w:jc w:val="left"/>
        <w:rPr>
          <w:rFonts w:hint="default"/>
          <w:sz w:val="24"/>
          <w:lang w:val="en-US" w:eastAsia="zh-CN"/>
        </w:rPr>
      </w:pPr>
    </w:p>
    <w:p>
      <w:pPr>
        <w:spacing w:beforeLines="-2147483648" w:afterLines="-2147483648"/>
        <w:jc w:val="left"/>
        <w:outlineLvl w:val="1"/>
        <w:rPr>
          <w:rFonts w:hint="default"/>
          <w:sz w:val="24"/>
          <w:lang w:val="en-US" w:eastAsia="zh-CN"/>
        </w:rPr>
      </w:pPr>
      <w:r>
        <w:rPr>
          <w:rFonts w:hint="eastAsia" w:ascii="Arial" w:hAnsi="Arial" w:cs="Arial"/>
          <w:sz w:val="28"/>
          <w:szCs w:val="28"/>
          <w:lang w:val="en-US" w:eastAsia="zh-CN"/>
        </w:rPr>
        <w:t xml:space="preserve">2.1. Feasibility study for </w:t>
      </w:r>
      <w:r>
        <w:rPr>
          <w:rFonts w:hint="eastAsia" w:ascii="Arial" w:hAnsi="Arial" w:cs="Arial"/>
          <w:b/>
          <w:sz w:val="24"/>
          <w:szCs w:val="24"/>
          <w:highlight w:val="none"/>
          <w:lang w:val="en-US" w:eastAsia="zh-CN"/>
        </w:rPr>
        <w:t>FR2 multi-band operation</w:t>
      </w: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kern w:val="0"/>
          <w:sz w:val="20"/>
          <w:szCs w:val="20"/>
          <w:highlight w:val="none"/>
          <w:lang w:val="en-US" w:eastAsia="zh-CN" w:bidi="ar-SA"/>
        </w:rPr>
        <w:t>In the following section, both multi-band</w:t>
      </w:r>
      <w:r>
        <w:rPr>
          <w:rFonts w:hint="eastAsia" w:eastAsia="Times New Roman" w:cs="Times New Roman"/>
          <w:kern w:val="0"/>
          <w:sz w:val="20"/>
          <w:szCs w:val="20"/>
          <w:highlight w:val="none"/>
          <w:lang w:val="en-US" w:eastAsia="zh-CN" w:bidi="ar-SA"/>
        </w:rPr>
        <w:t xml:space="preserve"> operation </w:t>
      </w:r>
      <w:r>
        <w:rPr>
          <w:rFonts w:hint="eastAsia" w:ascii="Times New Roman" w:hAnsi="Times New Roman" w:eastAsia="Times New Roman" w:cs="Times New Roman"/>
          <w:kern w:val="0"/>
          <w:sz w:val="20"/>
          <w:szCs w:val="20"/>
          <w:highlight w:val="none"/>
          <w:lang w:val="en-US" w:eastAsia="zh-CN" w:bidi="ar-SA"/>
        </w:rPr>
        <w:t>across different frequency group and within the same frequency group would be discussed in details.</w:t>
      </w:r>
    </w:p>
    <w:p>
      <w:pPr>
        <w:rPr>
          <w:rFonts w:hint="default"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 xml:space="preserve">For multi-band operation across different frequency group, </w:t>
      </w:r>
      <w:r>
        <w:rPr>
          <w:rFonts w:hint="eastAsia" w:ascii="Times New Roman" w:hAnsi="Times New Roman" w:eastAsia="Times New Roman" w:cs="Times New Roman"/>
          <w:kern w:val="0"/>
          <w:sz w:val="20"/>
          <w:szCs w:val="20"/>
          <w:highlight w:val="none"/>
          <w:lang w:val="en-US" w:eastAsia="zh-CN" w:bidi="ar-SA"/>
        </w:rPr>
        <w:t>based on the existing definition for multi-band RIB in TS 38.104 as following, there should be some common active RF components within BS RF chain to process two or more carriers from different frequency group</w:t>
      </w:r>
      <w:r>
        <w:rPr>
          <w:rFonts w:hint="eastAsia" w:eastAsia="Times New Roman" w:cs="Times New Roman"/>
          <w:kern w:val="0"/>
          <w:sz w:val="20"/>
          <w:szCs w:val="20"/>
          <w:highlight w:val="none"/>
          <w:lang w:val="en-US" w:eastAsia="zh-CN" w:bidi="ar-SA"/>
        </w:rPr>
        <w:t>. The general FR2 BS architecture is shown in Figure 2.1.1 for the convenience of the discussions. Generally speaking, similar as FR1 multi-band operation, wideband RF components e.g. PA within the antenna sub-array, phase shifter within the sub-array and antenna array supporting lager frequency range should be feasible to support multi-band operation in FR2.</w:t>
      </w:r>
    </w:p>
    <w:p>
      <w:pPr>
        <w:rPr>
          <w:rFonts w:hint="eastAsia" w:eastAsia="Times New Roman" w:cs="Times New Roman"/>
          <w:kern w:val="0"/>
          <w:sz w:val="20"/>
          <w:szCs w:val="20"/>
          <w:highlight w:val="none"/>
          <w:lang w:val="en-US" w:eastAsia="zh-CN" w:bidi="ar-SA"/>
        </w:rPr>
      </w:pPr>
    </w:p>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w:t>
      </w:r>
      <w:r>
        <w:rPr>
          <w:rFonts w:hint="eastAsia" w:ascii="Times New Roman" w:hAnsi="Times New Roman" w:eastAsia="Times New Roman" w:cs="Times New Roman"/>
          <w:kern w:val="0"/>
          <w:sz w:val="20"/>
          <w:szCs w:val="20"/>
          <w:highlight w:val="none"/>
          <w:lang w:val="en-US" w:eastAsia="zh-CN" w:bidi="ar-SA"/>
        </w:rPr>
        <w:t xml:space="preserve">ue to the large frequency gap between 28GHz and 39GHz </w:t>
      </w:r>
      <w:r>
        <w:rPr>
          <w:rFonts w:hint="eastAsia" w:eastAsia="Times New Roman" w:cs="Times New Roman"/>
          <w:kern w:val="0"/>
          <w:sz w:val="20"/>
          <w:szCs w:val="20"/>
          <w:highlight w:val="none"/>
          <w:lang w:val="en-US" w:eastAsia="zh-CN" w:bidi="ar-SA"/>
        </w:rPr>
        <w:t xml:space="preserve">or 26GHz and 40GHz or 28GHz and 40GHz </w:t>
      </w:r>
      <w:r>
        <w:rPr>
          <w:rFonts w:hint="eastAsia" w:ascii="Times New Roman" w:hAnsi="Times New Roman" w:eastAsia="Times New Roman" w:cs="Times New Roman"/>
          <w:kern w:val="0"/>
          <w:sz w:val="20"/>
          <w:szCs w:val="20"/>
          <w:highlight w:val="none"/>
          <w:lang w:val="en-US" w:eastAsia="zh-CN" w:bidi="ar-SA"/>
        </w:rPr>
        <w:t xml:space="preserve">, it </w:t>
      </w:r>
      <w:r>
        <w:rPr>
          <w:rFonts w:hint="eastAsia" w:eastAsia="Times New Roman" w:cs="Times New Roman"/>
          <w:kern w:val="0"/>
          <w:sz w:val="20"/>
          <w:szCs w:val="20"/>
          <w:highlight w:val="none"/>
          <w:lang w:val="en-US" w:eastAsia="zh-CN" w:bidi="ar-SA"/>
        </w:rPr>
        <w:t>seems that it is</w:t>
      </w:r>
      <w:r>
        <w:rPr>
          <w:rFonts w:hint="eastAsia" w:ascii="Times New Roman" w:hAnsi="Times New Roman" w:eastAsia="Times New Roman" w:cs="Times New Roman"/>
          <w:kern w:val="0"/>
          <w:sz w:val="20"/>
          <w:szCs w:val="20"/>
          <w:highlight w:val="none"/>
          <w:lang w:val="en-US" w:eastAsia="zh-CN" w:bidi="ar-SA"/>
        </w:rPr>
        <w:t xml:space="preserve"> difficult to use shared active RF components to process carriers from different frequency group</w:t>
      </w:r>
      <w:r>
        <w:rPr>
          <w:rFonts w:hint="eastAsia" w:eastAsia="Times New Roman" w:cs="Times New Roman"/>
          <w:kern w:val="0"/>
          <w:sz w:val="20"/>
          <w:szCs w:val="20"/>
          <w:highlight w:val="none"/>
          <w:lang w:val="en-US" w:eastAsia="zh-CN" w:bidi="ar-SA"/>
        </w:rPr>
        <w:t xml:space="preserve"> from the available commercial PA components [3]. From power amplifier perspective, for most of commercial available power amplifier or driver amplifier for FR2 NR BS, its supported frequency range is still limited within the same frequency group. For the receiver LNA, it supported frequency range would cover different frequency groups. I</w:t>
      </w:r>
      <w:r>
        <w:rPr>
          <w:rFonts w:hint="eastAsia" w:ascii="Times New Roman" w:hAnsi="Times New Roman" w:eastAsia="Times New Roman" w:cs="Times New Roman"/>
          <w:kern w:val="0"/>
          <w:sz w:val="20"/>
          <w:szCs w:val="20"/>
          <w:highlight w:val="none"/>
          <w:lang w:val="en-US" w:eastAsia="zh-CN" w:bidi="ar-SA"/>
        </w:rPr>
        <w:t xml:space="preserve">n other words, even though BS capable of supporting </w:t>
      </w:r>
      <w:r>
        <w:rPr>
          <w:rFonts w:hint="eastAsia" w:eastAsia="Times New Roman" w:cs="Times New Roman"/>
          <w:kern w:val="0"/>
          <w:sz w:val="20"/>
          <w:szCs w:val="20"/>
          <w:highlight w:val="none"/>
          <w:lang w:val="en-US" w:eastAsia="zh-CN" w:bidi="ar-SA"/>
        </w:rPr>
        <w:t>multi-band operation in different frequency group</w:t>
      </w:r>
      <w:r>
        <w:rPr>
          <w:rFonts w:hint="eastAsia" w:ascii="Times New Roman" w:hAnsi="Times New Roman" w:eastAsia="Times New Roman" w:cs="Times New Roman"/>
          <w:kern w:val="0"/>
          <w:sz w:val="20"/>
          <w:szCs w:val="20"/>
          <w:highlight w:val="none"/>
          <w:lang w:val="en-US" w:eastAsia="zh-CN" w:bidi="ar-SA"/>
        </w:rPr>
        <w:t xml:space="preserve">, </w:t>
      </w:r>
      <w:r>
        <w:rPr>
          <w:rFonts w:hint="eastAsia" w:eastAsia="Times New Roman" w:cs="Times New Roman"/>
          <w:kern w:val="0"/>
          <w:sz w:val="20"/>
          <w:szCs w:val="20"/>
          <w:highlight w:val="none"/>
          <w:lang w:val="en-US" w:eastAsia="zh-CN" w:bidi="ar-SA"/>
        </w:rPr>
        <w:t>the component</w:t>
      </w:r>
      <w:r>
        <w:rPr>
          <w:rFonts w:hint="eastAsia" w:ascii="Times New Roman" w:hAnsi="Times New Roman" w:eastAsia="Times New Roman" w:cs="Times New Roman"/>
          <w:kern w:val="0"/>
          <w:sz w:val="20"/>
          <w:szCs w:val="20"/>
          <w:highlight w:val="none"/>
          <w:lang w:val="en-US" w:eastAsia="zh-CN" w:bidi="ar-SA"/>
        </w:rPr>
        <w:t xml:space="preserve"> RIBs are still single-band RIBs</w:t>
      </w:r>
      <w:r>
        <w:rPr>
          <w:rFonts w:hint="eastAsia" w:eastAsia="Times New Roman" w:cs="Times New Roman"/>
          <w:kern w:val="0"/>
          <w:sz w:val="20"/>
          <w:szCs w:val="20"/>
          <w:highlight w:val="none"/>
          <w:lang w:val="en-US" w:eastAsia="zh-CN" w:bidi="ar-SA"/>
        </w:rPr>
        <w:t xml:space="preserve">. Except for the commercial available power amplifier as mentioned before, as also investigated in [6], there would be relative big difference of antenna directivity between different frequency groups due to its large frequency spanning and it actual difference value could be even up to 5.78dB for </w:t>
      </w:r>
      <w:r>
        <w:t>26-40GHz</w:t>
      </w:r>
      <w:r>
        <w:rPr>
          <w:rFonts w:hint="eastAsia"/>
          <w:lang w:val="en-US" w:eastAsia="zh-CN"/>
        </w:rPr>
        <w:t xml:space="preserve"> multi-band operation. In addition, the frequency selective phase shifter for multi-band BS cannot be treated as baseline assumption at the current phase due to its manufacturing and </w:t>
      </w:r>
      <w:r>
        <w:t>availability</w:t>
      </w:r>
      <w:r>
        <w:rPr>
          <w:rFonts w:hint="eastAsia"/>
          <w:lang w:val="en-US" w:eastAsia="zh-CN"/>
        </w:rPr>
        <w:t>.</w:t>
      </w:r>
    </w:p>
    <w:p>
      <w:r>
        <w:drawing>
          <wp:inline distT="0" distB="0" distL="114300" distR="114300">
            <wp:extent cx="6184900" cy="1632585"/>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84900" cy="163258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2.1.1. the general diagram for FR2 BS</w:t>
      </w:r>
    </w:p>
    <w:p>
      <w:pPr>
        <w:rPr>
          <w:rFonts w:hint="eastAsia"/>
          <w:lang w:val="en-US" w:eastAsia="zh-CN"/>
        </w:rPr>
      </w:pPr>
    </w:p>
    <w:p>
      <w:pPr>
        <w:rPr>
          <w:rFonts w:hint="eastAsia"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 xml:space="preserve">: </w:t>
      </w:r>
      <w:r>
        <w:rPr>
          <w:rFonts w:hint="eastAsia" w:ascii="Times New Roman" w:hAnsi="Times New Roman" w:eastAsia="Times New Roman" w:cs="Times New Roman"/>
          <w:b w:val="0"/>
          <w:bCs w:val="0"/>
          <w:kern w:val="0"/>
          <w:sz w:val="21"/>
          <w:szCs w:val="21"/>
          <w:highlight w:val="none"/>
          <w:lang w:val="en-US" w:eastAsia="zh-CN" w:bidi="ar-SA"/>
        </w:rPr>
        <w:t xml:space="preserve">for multi-band operation across different frequency group, </w:t>
      </w:r>
      <w:r>
        <w:rPr>
          <w:rFonts w:hint="eastAsia" w:eastAsia="Times New Roman" w:cs="Times New Roman"/>
          <w:b w:val="0"/>
          <w:bCs w:val="0"/>
          <w:kern w:val="0"/>
          <w:sz w:val="21"/>
          <w:szCs w:val="21"/>
          <w:highlight w:val="none"/>
          <w:lang w:val="en-US" w:eastAsia="zh-CN" w:bidi="ar-SA"/>
        </w:rPr>
        <w:t xml:space="preserve">it is challenging to support by the same power amplifier or driver amplifier. </w:t>
      </w:r>
    </w:p>
    <w:p>
      <w:pPr>
        <w:rPr>
          <w:rFonts w:hint="default" w:ascii="Times New Roman" w:hAnsi="Times New Roman" w:eastAsia="Times New Roman" w:cs="Times New Roman"/>
          <w:b/>
          <w:bCs/>
          <w:kern w:val="0"/>
          <w:sz w:val="21"/>
          <w:szCs w:val="21"/>
          <w:highlight w:val="none"/>
          <w:lang w:val="en-US" w:eastAsia="zh-CN" w:bidi="ar-SA"/>
        </w:rPr>
      </w:pPr>
    </w:p>
    <w:p>
      <w:pPr>
        <w:rPr>
          <w:rFonts w:hint="eastAsia" w:ascii="Times New Roman" w:hAnsi="Times New Roman" w:eastAsia="Times New Roman" w:cs="Times New Roman"/>
          <w:kern w:val="0"/>
          <w:sz w:val="20"/>
          <w:szCs w:val="20"/>
          <w:highlight w:val="none"/>
          <w:lang w:val="en-US" w:eastAsia="zh-CN" w:bidi="ar-SA"/>
        </w:rPr>
      </w:pPr>
      <w:r>
        <w:rPr>
          <w:rFonts w:hint="eastAsia" w:ascii="Times New Roman" w:hAnsi="Times New Roman" w:eastAsia="Times New Roman" w:cs="Times New Roman"/>
          <w:b w:val="0"/>
          <w:bCs w:val="0"/>
          <w:kern w:val="0"/>
          <w:sz w:val="20"/>
          <w:szCs w:val="20"/>
          <w:highlight w:val="none"/>
          <w:lang w:val="en-US" w:eastAsia="zh-CN" w:bidi="ar-SA"/>
        </w:rPr>
        <w:t>For multi-band operation within the same frequency group, ba</w:t>
      </w:r>
      <w:r>
        <w:rPr>
          <w:rFonts w:hint="eastAsia" w:ascii="Times New Roman" w:hAnsi="Times New Roman" w:eastAsia="Times New Roman" w:cs="Times New Roman"/>
          <w:kern w:val="0"/>
          <w:sz w:val="20"/>
          <w:szCs w:val="20"/>
          <w:highlight w:val="none"/>
          <w:lang w:val="en-US" w:eastAsia="zh-CN" w:bidi="ar-SA"/>
        </w:rPr>
        <w:t xml:space="preserve">sed on the definition for multi-band RIB in TS38.104 as following, the component band cannot be sub-band of another operating band, therefore n257+n261 is not applicable here. </w:t>
      </w:r>
    </w:p>
    <w:p>
      <w:pPr>
        <w:pBdr>
          <w:top w:val="single" w:color="auto" w:sz="4" w:space="0"/>
          <w:bottom w:val="single" w:color="auto" w:sz="4" w:space="0"/>
        </w:pBdr>
        <w:rPr>
          <w:rFonts w:hint="eastAsia" w:eastAsia="宋体"/>
          <w:i/>
          <w:highlight w:val="none"/>
          <w:lang w:val="en-US" w:eastAsia="zh-CN"/>
        </w:rPr>
      </w:pPr>
      <w:r>
        <w:rPr>
          <w:b/>
          <w:highlight w:val="none"/>
        </w:rPr>
        <w:t>multi-band RIB:</w:t>
      </w:r>
      <w:r>
        <w:rPr>
          <w:highlight w:val="none"/>
        </w:rPr>
        <w:t xml:space="preserve"> </w:t>
      </w:r>
      <w:r>
        <w:rPr>
          <w:i/>
          <w:highlight w:val="none"/>
        </w:rPr>
        <w:t>operating band</w:t>
      </w:r>
      <w:r>
        <w:rPr>
          <w:highlight w:val="none"/>
        </w:rPr>
        <w:t xml:space="preserve"> specific RIB </w:t>
      </w:r>
      <w:r>
        <w:rPr>
          <w:highlight w:val="none"/>
          <w:lang w:val="en-US"/>
        </w:rPr>
        <w:t xml:space="preserve">associated with a transmitter or receiver that is characterized by the ability to process two or more carriers in common active RF components simultaneously, where at least one carrier is configured at a different </w:t>
      </w:r>
      <w:r>
        <w:rPr>
          <w:i/>
          <w:highlight w:val="none"/>
          <w:lang w:val="en-US"/>
        </w:rPr>
        <w:t>operating band</w:t>
      </w:r>
      <w:r>
        <w:rPr>
          <w:highlight w:val="none"/>
          <w:lang w:val="en-US"/>
        </w:rPr>
        <w:t xml:space="preserve"> than the other carrier(s) and where this different </w:t>
      </w:r>
      <w:r>
        <w:rPr>
          <w:i/>
          <w:highlight w:val="none"/>
          <w:lang w:val="en-US"/>
        </w:rPr>
        <w:t>operating band</w:t>
      </w:r>
      <w:r>
        <w:rPr>
          <w:highlight w:val="none"/>
          <w:lang w:val="en-US"/>
        </w:rPr>
        <w:t xml:space="preserve"> is not a </w:t>
      </w:r>
      <w:r>
        <w:rPr>
          <w:i/>
          <w:highlight w:val="yellow"/>
          <w:lang w:val="en-US"/>
        </w:rPr>
        <w:t>sub-band</w:t>
      </w:r>
      <w:r>
        <w:rPr>
          <w:highlight w:val="none"/>
          <w:lang w:val="en-US"/>
        </w:rPr>
        <w:t xml:space="preserve"> or </w:t>
      </w:r>
      <w:r>
        <w:rPr>
          <w:i/>
          <w:highlight w:val="yellow"/>
          <w:lang w:val="en-US"/>
        </w:rPr>
        <w:t>superseding-band</w:t>
      </w:r>
      <w:r>
        <w:rPr>
          <w:highlight w:val="none"/>
          <w:lang w:val="en-US"/>
        </w:rPr>
        <w:t xml:space="preserve"> of another supported </w:t>
      </w:r>
      <w:r>
        <w:rPr>
          <w:i/>
          <w:highlight w:val="none"/>
          <w:lang w:val="en-US"/>
        </w:rPr>
        <w:t>operating band</w:t>
      </w:r>
      <w:r>
        <w:rPr>
          <w:rFonts w:hint="eastAsia" w:eastAsia="宋体"/>
          <w:i/>
          <w:highlight w:val="none"/>
          <w:lang w:val="en-US" w:eastAsia="zh-CN"/>
        </w:rPr>
        <w:t>.</w:t>
      </w:r>
    </w:p>
    <w:p>
      <w:pPr>
        <w:spacing w:beforeLines="0" w:afterLines="0"/>
        <w:jc w:val="left"/>
        <w:rPr>
          <w:rFonts w:hint="default"/>
          <w:sz w:val="24"/>
          <w:lang w:val="en-US" w:eastAsia="zh-CN"/>
        </w:rPr>
      </w:pPr>
    </w:p>
    <w:p>
      <w:pPr>
        <w:pStyle w:val="34"/>
        <w:numPr>
          <w:ilvl w:val="0"/>
          <w:numId w:val="0"/>
        </w:numPr>
        <w:rPr>
          <w:rFonts w:hint="eastAsia" w:eastAsia="Times New Roman" w:cs="Times New Roman"/>
          <w:kern w:val="0"/>
          <w:sz w:val="20"/>
          <w:szCs w:val="20"/>
          <w:highlight w:val="none"/>
          <w:lang w:val="en-US" w:eastAsia="zh-CN" w:bidi="ar-SA"/>
        </w:rPr>
      </w:pPr>
      <w:r>
        <w:rPr>
          <w:rFonts w:hint="eastAsia"/>
          <w:sz w:val="20"/>
          <w:szCs w:val="20"/>
          <w:lang w:val="en-US" w:eastAsia="zh-CN"/>
        </w:rPr>
        <w:t xml:space="preserve">For the example band band combination, </w:t>
      </w:r>
      <w:r>
        <w:rPr>
          <w:rFonts w:ascii="Times New Roman" w:hAnsi="Times New Roman"/>
          <w:sz w:val="20"/>
          <w:szCs w:val="20"/>
        </w:rPr>
        <w:t>26+28 GHz: n258 + n261</w:t>
      </w:r>
      <w:r>
        <w:rPr>
          <w:rFonts w:hint="eastAsia"/>
          <w:sz w:val="20"/>
          <w:szCs w:val="20"/>
          <w:lang w:val="en-US" w:eastAsia="zh-CN"/>
        </w:rPr>
        <w:t xml:space="preserve">, </w:t>
      </w:r>
      <w:r>
        <w:rPr>
          <w:rFonts w:hint="eastAsia" w:ascii="Times New Roman" w:hAnsi="Times New Roman" w:eastAsia="Times New Roman" w:cs="Times New Roman"/>
          <w:kern w:val="0"/>
          <w:sz w:val="20"/>
          <w:szCs w:val="20"/>
          <w:highlight w:val="none"/>
          <w:lang w:val="en-US" w:eastAsia="zh-CN" w:bidi="ar-SA"/>
        </w:rPr>
        <w:t xml:space="preserve">it </w:t>
      </w:r>
      <w:r>
        <w:rPr>
          <w:rFonts w:hint="eastAsia" w:eastAsia="Times New Roman" w:cs="Times New Roman"/>
          <w:kern w:val="0"/>
          <w:sz w:val="20"/>
          <w:szCs w:val="20"/>
          <w:highlight w:val="none"/>
          <w:lang w:val="en-US" w:eastAsia="zh-CN" w:bidi="ar-SA"/>
        </w:rPr>
        <w:t>seems that it is still feasible</w:t>
      </w:r>
      <w:r>
        <w:rPr>
          <w:rFonts w:hint="eastAsia" w:ascii="Times New Roman" w:hAnsi="Times New Roman" w:eastAsia="Times New Roman" w:cs="Times New Roman"/>
          <w:kern w:val="0"/>
          <w:sz w:val="20"/>
          <w:szCs w:val="20"/>
          <w:highlight w:val="none"/>
          <w:lang w:val="en-US" w:eastAsia="zh-CN" w:bidi="ar-SA"/>
        </w:rPr>
        <w:t xml:space="preserve"> to use shared active RF components to process carriers</w:t>
      </w:r>
      <w:r>
        <w:rPr>
          <w:rFonts w:hint="eastAsia" w:eastAsia="Times New Roman" w:cs="Times New Roman"/>
          <w:kern w:val="0"/>
          <w:sz w:val="20"/>
          <w:szCs w:val="20"/>
          <w:highlight w:val="none"/>
          <w:lang w:val="en-US" w:eastAsia="zh-CN" w:bidi="ar-SA"/>
        </w:rPr>
        <w:t xml:space="preserve"> within the same frequency group from the available commercial PA components [3]. From power amplifier perspective, for most of power amplifier or driver amplifier,its supported frequency range is limited within the same frequency group.</w:t>
      </w:r>
    </w:p>
    <w:p>
      <w:pPr>
        <w:rPr>
          <w:rFonts w:hint="eastAsia" w:eastAsia="Times New Roman" w:cs="Times New Roman"/>
          <w:b w:val="0"/>
          <w:bCs w:val="0"/>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w:t>
      </w:r>
      <w:r>
        <w:rPr>
          <w:rFonts w:hint="eastAsia" w:eastAsia="Times New Roman" w:cs="Times New Roman"/>
          <w:b w:val="0"/>
          <w:bCs w:val="0"/>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val="0"/>
          <w:bCs w:val="0"/>
          <w:kern w:val="0"/>
          <w:sz w:val="21"/>
          <w:szCs w:val="21"/>
          <w:highlight w:val="none"/>
          <w:lang w:val="en-US" w:eastAsia="zh-CN" w:bidi="ar-SA"/>
        </w:rPr>
        <w:t xml:space="preserve"> </w:t>
      </w:r>
      <w:r>
        <w:rPr>
          <w:rFonts w:hint="eastAsia" w:eastAsia="Times New Roman" w:cs="Times New Roman"/>
          <w:b w:val="0"/>
          <w:bCs w:val="0"/>
          <w:kern w:val="0"/>
          <w:sz w:val="21"/>
          <w:szCs w:val="21"/>
          <w:highlight w:val="none"/>
          <w:lang w:val="en-US" w:eastAsia="zh-CN" w:bidi="ar-SA"/>
        </w:rPr>
        <w:t xml:space="preserve">it seems feasible to support by the same power amplifier or driver amplifier. </w:t>
      </w:r>
    </w:p>
    <w:p>
      <w:pPr>
        <w:rPr>
          <w:rFonts w:hint="default" w:eastAsia="Times New Roman" w:cs="Times New Roman"/>
          <w:b w:val="0"/>
          <w:bCs w:val="0"/>
          <w:kern w:val="0"/>
          <w:sz w:val="21"/>
          <w:szCs w:val="21"/>
          <w:highlight w:val="none"/>
          <w:lang w:val="en-US" w:eastAsia="zh-CN" w:bidi="ar-SA"/>
        </w:rPr>
      </w:pPr>
      <w:r>
        <w:rPr>
          <w:rFonts w:hint="eastAsia" w:eastAsia="Times New Roman" w:cs="Times New Roman"/>
          <w:b w:val="0"/>
          <w:bCs w:val="0"/>
          <w:kern w:val="0"/>
          <w:sz w:val="21"/>
          <w:szCs w:val="21"/>
          <w:highlight w:val="none"/>
          <w:lang w:val="en-US" w:eastAsia="zh-CN" w:bidi="ar-SA"/>
        </w:rPr>
        <w:t>Based on the above considerations, the following proposal is made:</w:t>
      </w:r>
    </w:p>
    <w:p>
      <w:pPr>
        <w:rPr>
          <w:rFonts w:hint="default" w:eastAsia="Times New Roman" w:cs="Times New Roman"/>
          <w:kern w:val="0"/>
          <w:sz w:val="20"/>
          <w:szCs w:val="20"/>
          <w:highlight w:val="none"/>
          <w:lang w:val="en-US" w:eastAsia="zh-CN" w:bidi="ar-SA"/>
        </w:rPr>
      </w:pPr>
      <w:r>
        <w:rPr>
          <w:rFonts w:hint="eastAsia" w:eastAsia="Times New Roman" w:cs="Times New Roman"/>
          <w:b/>
          <w:bCs/>
          <w:kern w:val="0"/>
          <w:sz w:val="21"/>
          <w:szCs w:val="21"/>
          <w:highlight w:val="none"/>
          <w:lang w:val="en-US" w:eastAsia="zh-CN" w:bidi="ar-SA"/>
        </w:rPr>
        <w:t xml:space="preserve">Proposal 1: </w:t>
      </w:r>
      <w:r>
        <w:rPr>
          <w:rFonts w:hint="eastAsia" w:eastAsia="Times New Roman" w:cs="Times New Roman"/>
          <w:b w:val="0"/>
          <w:bCs w:val="0"/>
          <w:kern w:val="0"/>
          <w:sz w:val="21"/>
          <w:szCs w:val="21"/>
          <w:highlight w:val="none"/>
          <w:lang w:val="en-US" w:eastAsia="zh-CN" w:bidi="ar-SA"/>
        </w:rPr>
        <w:t>to focus the multi-band RIB within the same frequency group in Rel-18.</w:t>
      </w:r>
    </w:p>
    <w:p>
      <w:pPr>
        <w:spacing w:beforeLines="-2147483648" w:afterLines="-2147483648"/>
        <w:jc w:val="left"/>
        <w:outlineLvl w:val="1"/>
        <w:rPr>
          <w:rFonts w:hint="default" w:ascii="Arial" w:hAnsi="Arial" w:cs="Arial"/>
          <w:sz w:val="28"/>
          <w:szCs w:val="28"/>
          <w:lang w:val="en-US" w:eastAsia="zh-CN"/>
        </w:rPr>
      </w:pPr>
      <w:r>
        <w:rPr>
          <w:rFonts w:hint="eastAsia" w:ascii="Arial" w:hAnsi="Arial" w:cs="Arial"/>
          <w:sz w:val="28"/>
          <w:szCs w:val="28"/>
          <w:lang w:val="en-US" w:eastAsia="zh-CN"/>
        </w:rPr>
        <w:t>2.2. Definition of multi-band RIB</w:t>
      </w:r>
    </w:p>
    <w:p>
      <w:pPr>
        <w:spacing w:beforeLines="0" w:after="0" w:afterLines="0" w:afterAutospacing="0"/>
        <w:jc w:val="left"/>
        <w:outlineLvl w:val="9"/>
        <w:rPr>
          <w:rFonts w:hint="default"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For the definition of multi-band RIB for FR2, if there is no </w:t>
      </w:r>
      <w:r>
        <w:rPr>
          <w:rFonts w:hint="eastAsia" w:eastAsia="Times New Roman" w:cs="Times New Roman"/>
          <w:kern w:val="0"/>
          <w:sz w:val="20"/>
          <w:szCs w:val="20"/>
          <w:highlight w:val="none"/>
          <w:lang w:val="en-US" w:eastAsia="zh-CN"/>
        </w:rPr>
        <w:t xml:space="preserve">other </w:t>
      </w:r>
      <w:r>
        <w:rPr>
          <w:rFonts w:hint="eastAsia" w:ascii="Times New Roman" w:hAnsi="Times New Roman" w:eastAsia="Times New Roman" w:cs="Times New Roman"/>
          <w:kern w:val="0"/>
          <w:sz w:val="20"/>
          <w:szCs w:val="20"/>
          <w:highlight w:val="none"/>
          <w:lang w:val="en-US" w:eastAsia="zh-CN"/>
        </w:rPr>
        <w:t xml:space="preserve">specific reasons, we propose to </w:t>
      </w:r>
      <w:r>
        <w:rPr>
          <w:rFonts w:hint="eastAsia" w:eastAsia="Times New Roman" w:cs="Times New Roman"/>
          <w:kern w:val="0"/>
          <w:sz w:val="20"/>
          <w:szCs w:val="20"/>
          <w:highlight w:val="none"/>
          <w:lang w:val="en-US" w:eastAsia="zh-CN"/>
        </w:rPr>
        <w:t>use the same definition as FR1 which could serve the same purpose of FR1 BS.</w:t>
      </w:r>
    </w:p>
    <w:p>
      <w:pPr>
        <w:spacing w:beforeLines="0" w:after="0" w:afterLines="0" w:afterAutospacing="0"/>
        <w:jc w:val="left"/>
        <w:rPr>
          <w:rFonts w:hint="default" w:eastAsia="Times New Roman" w:cs="Times New Roman"/>
          <w:kern w:val="0"/>
          <w:sz w:val="20"/>
          <w:szCs w:val="20"/>
          <w:highlight w:val="none"/>
          <w:lang w:val="en-US" w:eastAsia="zh-CN" w:bidi="ar-SA"/>
        </w:rPr>
      </w:pPr>
      <w:r>
        <w:rPr>
          <w:rFonts w:hint="eastAsia" w:eastAsia="Times New Roman" w:cs="Times New Roman"/>
          <w:b/>
          <w:bCs/>
          <w:kern w:val="0"/>
          <w:sz w:val="20"/>
          <w:szCs w:val="20"/>
          <w:highlight w:val="none"/>
          <w:lang w:val="en-US" w:eastAsia="zh-CN"/>
        </w:rPr>
        <w:t xml:space="preserve">Proposal 2: </w:t>
      </w:r>
      <w:r>
        <w:rPr>
          <w:rFonts w:hint="eastAsia" w:eastAsia="Times New Roman" w:cs="Times New Roman"/>
          <w:b w:val="0"/>
          <w:bCs w:val="0"/>
          <w:kern w:val="0"/>
          <w:sz w:val="20"/>
          <w:szCs w:val="20"/>
          <w:highlight w:val="none"/>
          <w:lang w:val="en-US" w:eastAsia="zh-CN"/>
        </w:rPr>
        <w:t>to follow the same definition of FR1 multi-band RIB for FR2 multi-band RIB.</w:t>
      </w:r>
    </w:p>
    <w:bookmarkEnd w:id="1"/>
    <w:bookmarkEnd w:id="2"/>
    <w:bookmarkEnd w:id="3"/>
    <w:bookmarkEnd w:id="4"/>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understandings on the multi-band operation in FR2</w:t>
      </w:r>
      <w:r>
        <w:rPr>
          <w:rFonts w:hint="eastAsia"/>
          <w:lang w:val="en-US" w:eastAsia="zh-CN"/>
        </w:rPr>
        <w:t xml:space="preserve"> and proposals are made as following:</w:t>
      </w:r>
    </w:p>
    <w:p>
      <w:pPr>
        <w:spacing w:beforeLines="0" w:afterLines="0"/>
        <w:jc w:val="left"/>
        <w:rPr>
          <w:rFonts w:hint="eastAsia"/>
          <w:b/>
          <w:bCs/>
          <w:sz w:val="24"/>
          <w:lang w:val="en-US" w:eastAsia="zh-CN"/>
        </w:rPr>
      </w:pPr>
      <w:r>
        <w:rPr>
          <w:rFonts w:hint="eastAsia"/>
          <w:b/>
          <w:bCs/>
          <w:sz w:val="24"/>
          <w:lang w:val="en-US" w:eastAsia="zh-CN"/>
        </w:rPr>
        <w:t>Observation 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Pros</w:t>
            </w:r>
          </w:p>
        </w:tc>
        <w:tc>
          <w:tcPr>
            <w:tcW w:w="3321" w:type="dxa"/>
            <w:shd w:val="clear" w:color="auto" w:fill="D7D7D7" w:themeFill="background1" w:themeFillShade="D8"/>
          </w:tcPr>
          <w:p>
            <w:pPr>
              <w:spacing w:beforeLines="0" w:afterLines="0"/>
              <w:jc w:val="left"/>
              <w:rPr>
                <w:rFonts w:hint="default"/>
                <w:b/>
                <w:bCs/>
                <w:sz w:val="24"/>
                <w:vertAlign w:val="baseline"/>
                <w:lang w:val="en-US" w:eastAsia="zh-CN"/>
              </w:rPr>
            </w:pPr>
            <w:r>
              <w:rPr>
                <w:rFonts w:hint="eastAsia"/>
                <w:b/>
                <w:bCs/>
                <w:sz w:val="24"/>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among different frequency groups</w:t>
            </w:r>
          </w:p>
        </w:tc>
        <w:tc>
          <w:tcPr>
            <w:tcW w:w="3321" w:type="dxa"/>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To support the inter-band CA with multi-band operation at BS side might draw more commercial interest from the operators and the corresponding UE RF requirement is also more complete</w:t>
            </w:r>
          </w:p>
        </w:tc>
        <w:tc>
          <w:tcPr>
            <w:tcW w:w="3321" w:type="dxa"/>
          </w:tcPr>
          <w:p>
            <w:pPr>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More challenging to support it with multi-band operation at BS side.</w:t>
            </w: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D7D7D7" w:themeFill="background1" w:themeFillShade="D8"/>
          </w:tcPr>
          <w:p>
            <w:pPr>
              <w:spacing w:beforeLines="0" w:afterLines="0"/>
              <w:jc w:val="left"/>
              <w:rPr>
                <w:rFonts w:hint="default"/>
                <w:sz w:val="24"/>
                <w:vertAlign w:val="baseline"/>
                <w:lang w:val="en-US" w:eastAsia="zh-CN"/>
              </w:rPr>
            </w:pPr>
            <w:r>
              <w:rPr>
                <w:rFonts w:hint="eastAsia" w:eastAsia="Times New Roman" w:cs="Times New Roman"/>
                <w:kern w:val="0"/>
                <w:sz w:val="20"/>
                <w:szCs w:val="20"/>
                <w:highlight w:val="none"/>
                <w:lang w:val="en-US" w:eastAsia="zh-CN" w:bidi="ar-SA"/>
              </w:rPr>
              <w:t>multi-band operation within the same frequency group</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Easier due to its narrower supported frequency range</w:t>
            </w:r>
          </w:p>
        </w:tc>
        <w:tc>
          <w:tcPr>
            <w:tcW w:w="3321" w:type="dxa"/>
          </w:tcPr>
          <w:p>
            <w:pPr>
              <w:spacing w:beforeLines="0" w:afterLine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Draw less commercial interest from the operators at least from supporting the inter-band CA with multi-band operation.</w:t>
            </w:r>
          </w:p>
          <w:p>
            <w:pPr>
              <w:spacing w:beforeLines="0" w:afterLines="0"/>
              <w:jc w:val="left"/>
              <w:rPr>
                <w:rFonts w:hint="default" w:eastAsia="Times New Roman" w:cs="Times New Roman"/>
                <w:kern w:val="0"/>
                <w:sz w:val="20"/>
                <w:szCs w:val="20"/>
                <w:highlight w:val="none"/>
                <w:lang w:val="en-US" w:eastAsia="zh-CN" w:bidi="ar-SA"/>
              </w:rPr>
            </w:pPr>
          </w:p>
          <w:p>
            <w:pPr>
              <w:spacing w:beforeLines="0" w:afterLines="0"/>
              <w:jc w:val="left"/>
              <w:rPr>
                <w:rFonts w:hint="default"/>
                <w:sz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shd w:val="clear" w:color="auto" w:fill="auto"/>
          </w:tcPr>
          <w:p>
            <w:pPr>
              <w:spacing w:beforeLines="0" w:afterLines="0"/>
              <w:ind w:left="600" w:hanging="600" w:hangingChars="300"/>
              <w:jc w:val="left"/>
              <w:rPr>
                <w:rFonts w:hint="default"/>
                <w:sz w:val="24"/>
                <w:vertAlign w:val="baseline"/>
                <w:lang w:val="en-US" w:eastAsia="zh-CN"/>
              </w:rPr>
            </w:pPr>
            <w:r>
              <w:rPr>
                <w:rFonts w:hint="eastAsia" w:eastAsia="Times New Roman"/>
                <w:kern w:val="0"/>
                <w:sz w:val="20"/>
                <w:szCs w:val="20"/>
                <w:highlight w:val="none"/>
                <w:vertAlign w:val="baseline"/>
                <w:lang w:val="en-US" w:eastAsia="zh-CN"/>
              </w:rPr>
              <w:t>Note 1: not sure to support the different bands from different operators with multi-band operation is practical implementation. Based on the legacy design, the AAU equipment is more or less targeted to single operator</w:t>
            </w:r>
            <w:r>
              <w:rPr>
                <w:rFonts w:hint="default" w:eastAsia="Times New Roman"/>
                <w:kern w:val="0"/>
                <w:sz w:val="20"/>
                <w:szCs w:val="20"/>
                <w:highlight w:val="none"/>
                <w:vertAlign w:val="baseline"/>
                <w:lang w:val="en-US" w:eastAsia="zh-CN"/>
              </w:rPr>
              <w:t>’</w:t>
            </w:r>
            <w:r>
              <w:rPr>
                <w:rFonts w:hint="eastAsia" w:eastAsia="Times New Roman"/>
                <w:kern w:val="0"/>
                <w:sz w:val="20"/>
                <w:szCs w:val="20"/>
                <w:highlight w:val="none"/>
                <w:vertAlign w:val="baseline"/>
                <w:lang w:val="en-US" w:eastAsia="zh-CN"/>
              </w:rPr>
              <w:t xml:space="preserve">s holding spectrum. </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eastAsia"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2</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 multi-band operation across different frequency group, </w:t>
      </w:r>
      <w:r>
        <w:rPr>
          <w:rFonts w:hint="eastAsia" w:eastAsia="Times New Roman" w:cs="Times New Roman"/>
          <w:b w:val="0"/>
          <w:bCs w:val="0"/>
          <w:kern w:val="0"/>
          <w:sz w:val="21"/>
          <w:szCs w:val="21"/>
          <w:highlight w:val="none"/>
          <w:lang w:val="en-US" w:eastAsia="zh-CN" w:bidi="ar-SA"/>
        </w:rPr>
        <w:t>it is challenging to support by the same power amplifier or driver amplifier.</w:t>
      </w:r>
    </w:p>
    <w:p>
      <w:pPr>
        <w:rPr>
          <w:rFonts w:hint="eastAsia" w:ascii="Times New Roman" w:hAnsi="Times New Roman" w:eastAsia="Times New Roman" w:cs="Times New Roman"/>
          <w:b/>
          <w:bCs/>
          <w:kern w:val="0"/>
          <w:sz w:val="21"/>
          <w:szCs w:val="21"/>
          <w:highlight w:val="none"/>
          <w:lang w:val="en-US" w:eastAsia="zh-CN" w:bidi="ar-SA"/>
        </w:rPr>
      </w:pPr>
      <w:r>
        <w:rPr>
          <w:rFonts w:hint="eastAsia" w:ascii="Times New Roman" w:hAnsi="Times New Roman" w:eastAsia="Times New Roman" w:cs="Times New Roman"/>
          <w:b/>
          <w:bCs/>
          <w:kern w:val="0"/>
          <w:sz w:val="21"/>
          <w:szCs w:val="21"/>
          <w:highlight w:val="none"/>
          <w:lang w:val="en-US" w:eastAsia="zh-CN" w:bidi="ar-SA"/>
        </w:rPr>
        <w:t xml:space="preserve">Observation </w:t>
      </w:r>
      <w:r>
        <w:rPr>
          <w:rFonts w:hint="eastAsia" w:eastAsia="Times New Roman" w:cs="Times New Roman"/>
          <w:b/>
          <w:bCs/>
          <w:kern w:val="0"/>
          <w:sz w:val="21"/>
          <w:szCs w:val="21"/>
          <w:highlight w:val="none"/>
          <w:lang w:val="en-US" w:eastAsia="zh-CN" w:bidi="ar-SA"/>
        </w:rPr>
        <w:t>3</w:t>
      </w:r>
      <w:r>
        <w:rPr>
          <w:rFonts w:hint="eastAsia" w:ascii="Times New Roman" w:hAnsi="Times New Roman" w:eastAsia="Times New Roman" w:cs="Times New Roman"/>
          <w:b/>
          <w:bCs/>
          <w:kern w:val="0"/>
          <w:sz w:val="21"/>
          <w:szCs w:val="21"/>
          <w:highlight w:val="none"/>
          <w:lang w:val="en-US" w:eastAsia="zh-CN" w:bidi="ar-SA"/>
        </w:rPr>
        <w:t>:</w:t>
      </w:r>
      <w:r>
        <w:rPr>
          <w:rFonts w:hint="eastAsia" w:ascii="Times New Roman" w:hAnsi="Times New Roman" w:eastAsia="Times New Roman" w:cs="Times New Roman"/>
          <w:b w:val="0"/>
          <w:bCs w:val="0"/>
          <w:kern w:val="0"/>
          <w:sz w:val="21"/>
          <w:szCs w:val="21"/>
          <w:highlight w:val="none"/>
          <w:lang w:val="en-US" w:eastAsia="zh-CN" w:bidi="ar-SA"/>
        </w:rPr>
        <w:t xml:space="preserve"> for</w:t>
      </w:r>
      <w:r>
        <w:rPr>
          <w:rFonts w:hint="eastAsia" w:eastAsia="Times New Roman" w:cs="Times New Roman"/>
          <w:b w:val="0"/>
          <w:bCs w:val="0"/>
          <w:kern w:val="0"/>
          <w:sz w:val="21"/>
          <w:szCs w:val="21"/>
          <w:highlight w:val="none"/>
          <w:lang w:val="en-US" w:eastAsia="zh-CN" w:bidi="ar-SA"/>
        </w:rPr>
        <w:t xml:space="preserve"> multi-band operation of example band combination </w:t>
      </w:r>
      <w:r>
        <w:rPr>
          <w:rFonts w:ascii="Times New Roman" w:hAnsi="Times New Roman"/>
          <w:sz w:val="20"/>
          <w:szCs w:val="20"/>
        </w:rPr>
        <w:t>26+28 GHz: n258 + n261</w:t>
      </w:r>
      <w:r>
        <w:rPr>
          <w:rFonts w:hint="eastAsia" w:ascii="Times New Roman" w:hAnsi="Times New Roman" w:eastAsia="Times New Roman" w:cs="Times New Roman"/>
          <w:b w:val="0"/>
          <w:bCs w:val="0"/>
          <w:kern w:val="0"/>
          <w:sz w:val="21"/>
          <w:szCs w:val="21"/>
          <w:highlight w:val="none"/>
          <w:lang w:val="en-US" w:eastAsia="zh-CN" w:bidi="ar-SA"/>
        </w:rPr>
        <w:t xml:space="preserve"> </w:t>
      </w:r>
      <w:r>
        <w:rPr>
          <w:rFonts w:hint="eastAsia" w:eastAsia="Times New Roman" w:cs="Times New Roman"/>
          <w:b w:val="0"/>
          <w:bCs w:val="0"/>
          <w:kern w:val="0"/>
          <w:sz w:val="21"/>
          <w:szCs w:val="21"/>
          <w:highlight w:val="none"/>
          <w:lang w:val="en-US" w:eastAsia="zh-CN" w:bidi="ar-SA"/>
        </w:rPr>
        <w:t xml:space="preserve">it seems feasible to support by the same power amplifier or driver amplifier. </w:t>
      </w:r>
    </w:p>
    <w:p>
      <w:pPr>
        <w:keepNext w:val="0"/>
        <w:keepLines w:val="0"/>
        <w:pageBreakBefore w:val="0"/>
        <w:widowControl/>
        <w:kinsoku/>
        <w:wordWrap/>
        <w:overflowPunct/>
        <w:topLinePunct w:val="0"/>
        <w:autoSpaceDE/>
        <w:autoSpaceDN/>
        <w:bidi w:val="0"/>
        <w:adjustRightInd/>
        <w:snapToGrid/>
        <w:jc w:val="left"/>
        <w:textAlignment w:val="auto"/>
        <w:rPr>
          <w:rFonts w:hint="default" w:eastAsia="Times New Roman" w:cs="Times New Roman"/>
          <w:b w:val="0"/>
          <w:bCs w:val="0"/>
          <w:kern w:val="0"/>
          <w:sz w:val="21"/>
          <w:szCs w:val="21"/>
          <w:highlight w:val="none"/>
          <w:lang w:val="en-US" w:eastAsia="zh-CN" w:bidi="ar-SA"/>
        </w:rPr>
      </w:pPr>
      <w:r>
        <w:rPr>
          <w:rFonts w:hint="eastAsia" w:eastAsia="Times New Roman" w:cs="Times New Roman"/>
          <w:b/>
          <w:bCs/>
          <w:kern w:val="0"/>
          <w:sz w:val="21"/>
          <w:szCs w:val="21"/>
          <w:highlight w:val="none"/>
          <w:lang w:val="en-US" w:eastAsia="zh-CN" w:bidi="ar-SA"/>
        </w:rPr>
        <w:t xml:space="preserve">Proposal 1: </w:t>
      </w:r>
      <w:r>
        <w:rPr>
          <w:rFonts w:hint="eastAsia" w:eastAsia="Times New Roman" w:cs="Times New Roman"/>
          <w:b w:val="0"/>
          <w:bCs w:val="0"/>
          <w:kern w:val="0"/>
          <w:sz w:val="21"/>
          <w:szCs w:val="21"/>
          <w:highlight w:val="none"/>
          <w:lang w:val="en-US" w:eastAsia="zh-CN" w:bidi="ar-SA"/>
        </w:rPr>
        <w:t>to focus the multi-band RIB within the same frequency group in Rel-18.</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RP-221001, Study on NR BS RF requirement evolution</w:t>
      </w:r>
      <w:r>
        <w:rPr>
          <w:rFonts w:hint="eastAsia" w:cs="Times New Roman"/>
          <w:sz w:val="20"/>
          <w:szCs w:val="20"/>
          <w:highlight w:val="none"/>
          <w:lang w:val="en-US" w:eastAsia="zh-CN"/>
        </w:rPr>
        <w:t>, Huawei,approved.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RP-213409,Views on NR BS RF enhancement in Rel-18, ZTE, Sanechips</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R4-2119315,</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FR2 –Multi-band background discussion,Huawei</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"https://cn.qorvo.com/products/amplifiers/high-frequency-amplifiers" </w:instrText>
      </w:r>
      <w:r>
        <w:rPr>
          <w:rFonts w:hint="eastAsia" w:ascii="Times New Roman" w:hAnsi="Times New Roman" w:eastAsia="宋体" w:cs="Times New Roman"/>
          <w:sz w:val="20"/>
          <w:szCs w:val="20"/>
          <w:highlight w:val="none"/>
          <w:lang w:val="en-US" w:eastAsia="zh-CN"/>
        </w:rPr>
        <w:fldChar w:fldCharType="separate"/>
      </w:r>
      <w:r>
        <w:rPr>
          <w:rStyle w:val="29"/>
          <w:rFonts w:hint="eastAsia" w:ascii="Times New Roman" w:hAnsi="Times New Roman" w:eastAsia="宋体" w:cs="Times New Roman"/>
          <w:sz w:val="20"/>
          <w:szCs w:val="20"/>
          <w:highlight w:val="none"/>
          <w:lang w:val="en-US" w:eastAsia="zh-CN"/>
        </w:rPr>
        <w:t>https://cn.qorvo.com/products/amplifiers/high-frequency-amplifiers</w:t>
      </w:r>
      <w:r>
        <w:rPr>
          <w:rFonts w:hint="eastAsia" w:ascii="Times New Roman" w:hAnsi="Times New Roman" w:eastAsia="宋体" w:cs="Times New Roman"/>
          <w:sz w:val="20"/>
          <w:szCs w:val="20"/>
          <w:highlight w:val="none"/>
          <w:lang w:val="en-US" w:eastAsia="zh-CN"/>
        </w:rPr>
        <w:fldChar w:fldCharType="end"/>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38.101-2 17.6.0</w:t>
      </w:r>
    </w:p>
    <w:p>
      <w:pPr>
        <w:pStyle w:val="53"/>
        <w:numPr>
          <w:ilvl w:val="0"/>
          <w:numId w:val="6"/>
        </w:numPr>
        <w:rPr>
          <w:rFonts w:hint="eastAsia" w:ascii="Times New Roman" w:hAnsi="Times New Roman" w:eastAsia="宋体" w:cs="Times New Roman"/>
          <w:sz w:val="20"/>
          <w:szCs w:val="20"/>
          <w:highlight w:val="none"/>
          <w:lang w:val="sv-SE" w:eastAsia="zh-CN"/>
        </w:rPr>
      </w:pPr>
      <w:r>
        <w:rPr>
          <w:rFonts w:hint="eastAsia" w:ascii="Times New Roman" w:hAnsi="Times New Roman" w:eastAsia="宋体" w:cs="Times New Roman"/>
          <w:sz w:val="20"/>
          <w:szCs w:val="20"/>
          <w:highlight w:val="none"/>
          <w:lang w:val="en-US" w:eastAsia="zh-CN"/>
        </w:rPr>
        <w:t>R4-2214375</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WF on investigation of mmWave multi-band BS</w:t>
      </w:r>
      <w:r>
        <w:rPr>
          <w:rFonts w:hint="eastAsia" w:cs="Times New Roman"/>
          <w:sz w:val="20"/>
          <w:szCs w:val="20"/>
          <w:highlight w:val="none"/>
          <w:lang w:val="en-US" w:eastAsia="zh-CN"/>
        </w:rPr>
        <w:t>, Huawei, 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R4-2214303</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Email Discussion Summary for [104-e][314] FS_NR_BS_RF_evo</w:t>
      </w:r>
      <w:r>
        <w:rPr>
          <w:rFonts w:hint="eastAsia" w:cs="Times New Roman"/>
          <w:sz w:val="20"/>
          <w:szCs w:val="20"/>
          <w:highlight w:val="none"/>
          <w:lang w:val="en-US" w:eastAsia="zh-CN"/>
        </w:rPr>
        <w:t>, 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rPr>
        <w:t>R4-2211812</w:t>
      </w:r>
      <w:r>
        <w:rPr>
          <w:rFonts w:hint="eastAsia" w:ascii="Times New Roman" w:hAnsi="Times New Roman" w:cs="Times New Roman"/>
          <w:sz w:val="20"/>
          <w:szCs w:val="20"/>
          <w:highlight w:val="none"/>
          <w:lang w:val="en-US" w:eastAsia="zh-CN"/>
        </w:rPr>
        <w:t>,</w:t>
      </w:r>
      <w:r>
        <w:rPr>
          <w:rFonts w:hint="eastAsia" w:ascii="Times New Roman" w:hAnsi="Times New Roman" w:cs="Times New Roman"/>
          <w:b w:val="0"/>
          <w:sz w:val="20"/>
          <w:szCs w:val="20"/>
          <w:highlight w:val="none"/>
          <w:lang w:val="en-US"/>
        </w:rPr>
        <w:t>Discussion on possible issues on performance</w:t>
      </w:r>
      <w:r>
        <w:rPr>
          <w:rFonts w:hint="eastAsia" w:ascii="Times New Roman" w:hAnsi="Times New Roman" w:cs="Times New Roman"/>
          <w:b w:val="0"/>
          <w:sz w:val="20"/>
          <w:szCs w:val="20"/>
          <w:highlight w:val="none"/>
        </w:rPr>
        <w:t xml:space="preserve"> of wideband RF and antenna architectures</w:t>
      </w:r>
      <w:r>
        <w:rPr>
          <w:rFonts w:hint="eastAsia" w:cs="Times New Roman"/>
          <w:b w:val="0"/>
          <w:sz w:val="20"/>
          <w:szCs w:val="20"/>
          <w:highlight w:val="none"/>
          <w:lang w:val="en-US" w:eastAsia="zh-CN"/>
        </w:rPr>
        <w:t>, Nokia, Noted</w:t>
      </w:r>
    </w:p>
    <w:p>
      <w:pPr>
        <w:pStyle w:val="53"/>
        <w:numPr>
          <w:ilvl w:val="0"/>
          <w:numId w:val="6"/>
        </w:numPr>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R4-2217450 WF on definition of FR2-1 multi-band BS, CATT, 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R4-2217451 WF on feasibility of FR2-1 multi-band BS,Approved.</w:t>
      </w:r>
    </w:p>
    <w:p>
      <w:pPr>
        <w:pStyle w:val="53"/>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R4-2217452 WF on requirements of FR2-1 multi-band BS</w:t>
      </w:r>
      <w:r>
        <w:rPr>
          <w:rFonts w:hint="eastAsia" w:cs="Times New Roman"/>
          <w:sz w:val="20"/>
          <w:szCs w:val="20"/>
          <w:highlight w:val="none"/>
          <w:lang w:val="en-US" w:eastAsia="zh-CN"/>
        </w:rPr>
        <w:t>, Approved.</w:t>
      </w:r>
    </w:p>
    <w:p>
      <w:pPr>
        <w:pStyle w:val="53"/>
        <w:numPr>
          <w:ilvl w:val="0"/>
          <w:numId w:val="0"/>
        </w:numPr>
        <w:rPr>
          <w:rFonts w:hint="eastAsia" w:ascii="Times New Roman" w:hAnsi="Times New Roman" w:eastAsia="宋体" w:cs="Times New Roman"/>
          <w:sz w:val="20"/>
          <w:szCs w:val="20"/>
          <w:highlight w:val="none"/>
          <w:lang w:val="en-US" w:eastAsia="zh-CN"/>
        </w:rPr>
      </w:pPr>
    </w:p>
    <w:p>
      <w:pPr>
        <w:pStyle w:val="53"/>
        <w:numPr>
          <w:ilvl w:val="0"/>
          <w:numId w:val="0"/>
        </w:numPr>
        <w:rPr>
          <w:rFonts w:hint="eastAsia" w:ascii="Times New Roman" w:hAnsi="Times New Roman" w:eastAsia="宋体" w:cs="Times New Roman"/>
          <w:sz w:val="20"/>
          <w:szCs w:val="20"/>
          <w:highlight w:val="none"/>
          <w:lang w:val="en-US" w:eastAsia="zh-CN"/>
        </w:rPr>
      </w:pPr>
    </w:p>
    <w:p>
      <w:pPr>
        <w:pStyle w:val="53"/>
        <w:numPr>
          <w:ilvl w:val="0"/>
          <w:numId w:val="0"/>
        </w:numPr>
        <w:rPr>
          <w:rFonts w:hint="eastAsia" w:ascii="Times New Roman" w:hAnsi="Times New Roman" w:eastAsia="宋体" w:cs="Times New Roman"/>
          <w:sz w:val="20"/>
          <w:szCs w:val="20"/>
          <w:highlight w:val="none"/>
          <w:lang w:val="sv-SE" w:eastAsia="zh-CN"/>
        </w:rPr>
      </w:pPr>
    </w:p>
    <w:p>
      <w:pPr>
        <w:pStyle w:val="53"/>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B3B34"/>
    <w:multiLevelType w:val="multilevel"/>
    <w:tmpl w:val="104B3B34"/>
    <w:lvl w:ilvl="0" w:tentative="0">
      <w:start w:val="1"/>
      <w:numFmt w:val="decimal"/>
      <w:lvlText w:val="%1)"/>
      <w:lvlJc w:val="left"/>
      <w:pPr>
        <w:ind w:left="1768" w:hanging="360"/>
      </w:pPr>
      <w:rPr>
        <w:rFonts w:hint="default"/>
      </w:rPr>
    </w:lvl>
    <w:lvl w:ilvl="1" w:tentative="0">
      <w:start w:val="1"/>
      <w:numFmt w:val="lowerLetter"/>
      <w:lvlText w:val="%2."/>
      <w:lvlJc w:val="left"/>
      <w:pPr>
        <w:ind w:left="2488" w:hanging="360"/>
      </w:pPr>
    </w:lvl>
    <w:lvl w:ilvl="2" w:tentative="0">
      <w:start w:val="1"/>
      <w:numFmt w:val="lowerRoman"/>
      <w:lvlText w:val="%3."/>
      <w:lvlJc w:val="right"/>
      <w:pPr>
        <w:ind w:left="3208" w:hanging="180"/>
      </w:pPr>
    </w:lvl>
    <w:lvl w:ilvl="3" w:tentative="0">
      <w:start w:val="1"/>
      <w:numFmt w:val="decimal"/>
      <w:lvlText w:val="%4."/>
      <w:lvlJc w:val="left"/>
      <w:pPr>
        <w:ind w:left="3928" w:hanging="360"/>
      </w:pPr>
    </w:lvl>
    <w:lvl w:ilvl="4" w:tentative="0">
      <w:start w:val="1"/>
      <w:numFmt w:val="lowerLetter"/>
      <w:lvlText w:val="%5."/>
      <w:lvlJc w:val="left"/>
      <w:pPr>
        <w:ind w:left="4648" w:hanging="360"/>
      </w:pPr>
    </w:lvl>
    <w:lvl w:ilvl="5" w:tentative="0">
      <w:start w:val="1"/>
      <w:numFmt w:val="lowerRoman"/>
      <w:lvlText w:val="%6."/>
      <w:lvlJc w:val="right"/>
      <w:pPr>
        <w:ind w:left="5368" w:hanging="180"/>
      </w:pPr>
    </w:lvl>
    <w:lvl w:ilvl="6" w:tentative="0">
      <w:start w:val="1"/>
      <w:numFmt w:val="decimal"/>
      <w:lvlText w:val="%7."/>
      <w:lvlJc w:val="left"/>
      <w:pPr>
        <w:ind w:left="6088" w:hanging="360"/>
      </w:pPr>
    </w:lvl>
    <w:lvl w:ilvl="7" w:tentative="0">
      <w:start w:val="1"/>
      <w:numFmt w:val="lowerLetter"/>
      <w:lvlText w:val="%8."/>
      <w:lvlJc w:val="left"/>
      <w:pPr>
        <w:ind w:left="6808" w:hanging="360"/>
      </w:pPr>
    </w:lvl>
    <w:lvl w:ilvl="8" w:tentative="0">
      <w:start w:val="1"/>
      <w:numFmt w:val="lowerRoman"/>
      <w:lvlText w:val="%9."/>
      <w:lvlJc w:val="right"/>
      <w:pPr>
        <w:ind w:left="7528" w:hanging="180"/>
      </w:p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1EB45F2"/>
    <w:multiLevelType w:val="multilevel"/>
    <w:tmpl w:val="61EB45F2"/>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535631F"/>
    <w:multiLevelType w:val="multilevel"/>
    <w:tmpl w:val="653563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2E86E3B"/>
    <w:multiLevelType w:val="multilevel"/>
    <w:tmpl w:val="72E86E3B"/>
    <w:lvl w:ilvl="0" w:tentative="0">
      <w:start w:val="1"/>
      <w:numFmt w:val="bullet"/>
      <w:lvlText w:val="o"/>
      <w:lvlJc w:val="left"/>
      <w:pPr>
        <w:ind w:left="704"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2F"/>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2D5"/>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72F"/>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4562DF"/>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F7D81"/>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145E"/>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405EE"/>
    <w:rsid w:val="032E4DBB"/>
    <w:rsid w:val="0332111E"/>
    <w:rsid w:val="03332CAE"/>
    <w:rsid w:val="03343BC7"/>
    <w:rsid w:val="033D44BC"/>
    <w:rsid w:val="033E7B50"/>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7C19B1"/>
    <w:rsid w:val="04856247"/>
    <w:rsid w:val="04865E52"/>
    <w:rsid w:val="048829D4"/>
    <w:rsid w:val="049B40DC"/>
    <w:rsid w:val="04D66461"/>
    <w:rsid w:val="051034CD"/>
    <w:rsid w:val="051F43BC"/>
    <w:rsid w:val="052432F7"/>
    <w:rsid w:val="05280A89"/>
    <w:rsid w:val="05367F8C"/>
    <w:rsid w:val="053E1AC2"/>
    <w:rsid w:val="0545651B"/>
    <w:rsid w:val="05583DC1"/>
    <w:rsid w:val="055A77BF"/>
    <w:rsid w:val="055C5DB2"/>
    <w:rsid w:val="05687505"/>
    <w:rsid w:val="05734531"/>
    <w:rsid w:val="05784E56"/>
    <w:rsid w:val="057C27B2"/>
    <w:rsid w:val="057F0408"/>
    <w:rsid w:val="05804262"/>
    <w:rsid w:val="05816D10"/>
    <w:rsid w:val="058E6ED4"/>
    <w:rsid w:val="05930F73"/>
    <w:rsid w:val="05940F3F"/>
    <w:rsid w:val="05991C8F"/>
    <w:rsid w:val="05A706E9"/>
    <w:rsid w:val="05A85862"/>
    <w:rsid w:val="05B11A20"/>
    <w:rsid w:val="05B173DC"/>
    <w:rsid w:val="05B27D07"/>
    <w:rsid w:val="05B658ED"/>
    <w:rsid w:val="05BC079D"/>
    <w:rsid w:val="05BE42A5"/>
    <w:rsid w:val="05C256BE"/>
    <w:rsid w:val="05CC32B8"/>
    <w:rsid w:val="05CF434C"/>
    <w:rsid w:val="05D16BC6"/>
    <w:rsid w:val="05DC2707"/>
    <w:rsid w:val="05E660EA"/>
    <w:rsid w:val="05E73462"/>
    <w:rsid w:val="05EB0F6A"/>
    <w:rsid w:val="05EE3B4E"/>
    <w:rsid w:val="05FA1213"/>
    <w:rsid w:val="05FF3135"/>
    <w:rsid w:val="060836A6"/>
    <w:rsid w:val="060C5B07"/>
    <w:rsid w:val="060D249E"/>
    <w:rsid w:val="06111076"/>
    <w:rsid w:val="061B7699"/>
    <w:rsid w:val="062D742E"/>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F30672"/>
    <w:rsid w:val="06F35A7A"/>
    <w:rsid w:val="06F35AB6"/>
    <w:rsid w:val="06F66B05"/>
    <w:rsid w:val="0702074E"/>
    <w:rsid w:val="07076566"/>
    <w:rsid w:val="0708086F"/>
    <w:rsid w:val="07220D76"/>
    <w:rsid w:val="072717DA"/>
    <w:rsid w:val="07277193"/>
    <w:rsid w:val="072B7E46"/>
    <w:rsid w:val="072F2139"/>
    <w:rsid w:val="073B285A"/>
    <w:rsid w:val="07436058"/>
    <w:rsid w:val="074B39A3"/>
    <w:rsid w:val="074E566F"/>
    <w:rsid w:val="074F3DF9"/>
    <w:rsid w:val="07537C92"/>
    <w:rsid w:val="075670A4"/>
    <w:rsid w:val="075E667A"/>
    <w:rsid w:val="07660D5A"/>
    <w:rsid w:val="07665169"/>
    <w:rsid w:val="07684D10"/>
    <w:rsid w:val="076F4BA4"/>
    <w:rsid w:val="07731BE6"/>
    <w:rsid w:val="07750A92"/>
    <w:rsid w:val="077F1E3C"/>
    <w:rsid w:val="077F542D"/>
    <w:rsid w:val="077F5D16"/>
    <w:rsid w:val="07817B19"/>
    <w:rsid w:val="078B062A"/>
    <w:rsid w:val="07916BE4"/>
    <w:rsid w:val="07A2728D"/>
    <w:rsid w:val="07A80D41"/>
    <w:rsid w:val="07AA3E51"/>
    <w:rsid w:val="07BE51B2"/>
    <w:rsid w:val="07D835FB"/>
    <w:rsid w:val="07DC5912"/>
    <w:rsid w:val="07DD018B"/>
    <w:rsid w:val="07E014BE"/>
    <w:rsid w:val="07E04AA8"/>
    <w:rsid w:val="07E85751"/>
    <w:rsid w:val="07ED5339"/>
    <w:rsid w:val="07F97CF9"/>
    <w:rsid w:val="07FB21CB"/>
    <w:rsid w:val="0800676F"/>
    <w:rsid w:val="080F4BCD"/>
    <w:rsid w:val="08171593"/>
    <w:rsid w:val="0834754C"/>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4770A"/>
    <w:rsid w:val="08CF2EF9"/>
    <w:rsid w:val="08D836B6"/>
    <w:rsid w:val="08F10FA0"/>
    <w:rsid w:val="08F5200D"/>
    <w:rsid w:val="08F911CC"/>
    <w:rsid w:val="09016732"/>
    <w:rsid w:val="09127CF4"/>
    <w:rsid w:val="09157E5B"/>
    <w:rsid w:val="092073EA"/>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05C9"/>
    <w:rsid w:val="0BE17727"/>
    <w:rsid w:val="0BEC55E4"/>
    <w:rsid w:val="0BF427F9"/>
    <w:rsid w:val="0C0B2ABC"/>
    <w:rsid w:val="0C0C632D"/>
    <w:rsid w:val="0C120111"/>
    <w:rsid w:val="0C12447E"/>
    <w:rsid w:val="0C1D0A79"/>
    <w:rsid w:val="0C366BCD"/>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96258"/>
    <w:rsid w:val="0CBB5A0F"/>
    <w:rsid w:val="0CCD3B1C"/>
    <w:rsid w:val="0CE134A6"/>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6E3590"/>
    <w:rsid w:val="0D826C81"/>
    <w:rsid w:val="0D904522"/>
    <w:rsid w:val="0D976014"/>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4D4B22"/>
    <w:rsid w:val="0E5E2B07"/>
    <w:rsid w:val="0E771E51"/>
    <w:rsid w:val="0E796EA0"/>
    <w:rsid w:val="0E7A2A61"/>
    <w:rsid w:val="0E7C0762"/>
    <w:rsid w:val="0E8118C0"/>
    <w:rsid w:val="0E8824EC"/>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D240A"/>
    <w:rsid w:val="0F0E2F3A"/>
    <w:rsid w:val="0F12247A"/>
    <w:rsid w:val="0F1D0AD1"/>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85FFB"/>
    <w:rsid w:val="0F7C4621"/>
    <w:rsid w:val="0F7D786D"/>
    <w:rsid w:val="0F7E4DAF"/>
    <w:rsid w:val="0F7E6AED"/>
    <w:rsid w:val="0F80243B"/>
    <w:rsid w:val="0F842AF1"/>
    <w:rsid w:val="0F8E6521"/>
    <w:rsid w:val="0F9A3D44"/>
    <w:rsid w:val="0FA26E81"/>
    <w:rsid w:val="0FA615E1"/>
    <w:rsid w:val="0FAD0019"/>
    <w:rsid w:val="0FAD3299"/>
    <w:rsid w:val="0FB261C9"/>
    <w:rsid w:val="0FB31343"/>
    <w:rsid w:val="0FC12836"/>
    <w:rsid w:val="0FD95333"/>
    <w:rsid w:val="0FEB0378"/>
    <w:rsid w:val="0FEC322B"/>
    <w:rsid w:val="0FEC6EF6"/>
    <w:rsid w:val="10045EE6"/>
    <w:rsid w:val="10065D31"/>
    <w:rsid w:val="10080D17"/>
    <w:rsid w:val="100C1580"/>
    <w:rsid w:val="100D3B17"/>
    <w:rsid w:val="10154FE6"/>
    <w:rsid w:val="1023666E"/>
    <w:rsid w:val="10322865"/>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53799"/>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8392F"/>
    <w:rsid w:val="12396B0A"/>
    <w:rsid w:val="123A52C3"/>
    <w:rsid w:val="123E0CDC"/>
    <w:rsid w:val="125A02CC"/>
    <w:rsid w:val="126405F6"/>
    <w:rsid w:val="127222F3"/>
    <w:rsid w:val="127D422E"/>
    <w:rsid w:val="128261C2"/>
    <w:rsid w:val="12833A4D"/>
    <w:rsid w:val="12845278"/>
    <w:rsid w:val="12863AEA"/>
    <w:rsid w:val="128C036A"/>
    <w:rsid w:val="128E70AD"/>
    <w:rsid w:val="129D41B7"/>
    <w:rsid w:val="12A45BB3"/>
    <w:rsid w:val="12A6213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E6A5C"/>
    <w:rsid w:val="137F1B10"/>
    <w:rsid w:val="1382164E"/>
    <w:rsid w:val="13913843"/>
    <w:rsid w:val="13920C1D"/>
    <w:rsid w:val="13962CE5"/>
    <w:rsid w:val="13A62921"/>
    <w:rsid w:val="13AB3B97"/>
    <w:rsid w:val="13B35E26"/>
    <w:rsid w:val="13B42C01"/>
    <w:rsid w:val="13B445AD"/>
    <w:rsid w:val="13B66BD2"/>
    <w:rsid w:val="13B75273"/>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9F2EE9"/>
    <w:rsid w:val="14A82A63"/>
    <w:rsid w:val="14A86EA4"/>
    <w:rsid w:val="14AC358C"/>
    <w:rsid w:val="14B76730"/>
    <w:rsid w:val="14C767C8"/>
    <w:rsid w:val="14DE753E"/>
    <w:rsid w:val="14ED17A4"/>
    <w:rsid w:val="14F51028"/>
    <w:rsid w:val="14F549EC"/>
    <w:rsid w:val="14F92549"/>
    <w:rsid w:val="14FB4950"/>
    <w:rsid w:val="14FD4800"/>
    <w:rsid w:val="14FE45D8"/>
    <w:rsid w:val="150650CB"/>
    <w:rsid w:val="150E6B8B"/>
    <w:rsid w:val="15126FAF"/>
    <w:rsid w:val="15157DF4"/>
    <w:rsid w:val="151B0462"/>
    <w:rsid w:val="151C45D8"/>
    <w:rsid w:val="15290336"/>
    <w:rsid w:val="15297BD7"/>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60C437B"/>
    <w:rsid w:val="161033BE"/>
    <w:rsid w:val="161147E1"/>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5378E"/>
    <w:rsid w:val="17256955"/>
    <w:rsid w:val="172B6CEB"/>
    <w:rsid w:val="172E57AD"/>
    <w:rsid w:val="17343071"/>
    <w:rsid w:val="17350245"/>
    <w:rsid w:val="17382580"/>
    <w:rsid w:val="174D3983"/>
    <w:rsid w:val="17595246"/>
    <w:rsid w:val="175E4288"/>
    <w:rsid w:val="175F6489"/>
    <w:rsid w:val="17652ACF"/>
    <w:rsid w:val="176C704A"/>
    <w:rsid w:val="177653C5"/>
    <w:rsid w:val="17844C56"/>
    <w:rsid w:val="179559A6"/>
    <w:rsid w:val="17957384"/>
    <w:rsid w:val="179A3AE1"/>
    <w:rsid w:val="17A30F12"/>
    <w:rsid w:val="17BA48D6"/>
    <w:rsid w:val="17C0378A"/>
    <w:rsid w:val="17C535A1"/>
    <w:rsid w:val="17CC1D1C"/>
    <w:rsid w:val="17CD5EE0"/>
    <w:rsid w:val="17D47D7C"/>
    <w:rsid w:val="17D77CA7"/>
    <w:rsid w:val="17DD34AB"/>
    <w:rsid w:val="17F223D1"/>
    <w:rsid w:val="17F44E7A"/>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BA4C52"/>
    <w:rsid w:val="18C9246D"/>
    <w:rsid w:val="18CC75E7"/>
    <w:rsid w:val="18CF7D05"/>
    <w:rsid w:val="18D979C0"/>
    <w:rsid w:val="18DE1E44"/>
    <w:rsid w:val="18DE5861"/>
    <w:rsid w:val="18E0151A"/>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25BB5"/>
    <w:rsid w:val="19D76F77"/>
    <w:rsid w:val="19DE7440"/>
    <w:rsid w:val="19ED386F"/>
    <w:rsid w:val="19FF1298"/>
    <w:rsid w:val="1A03072C"/>
    <w:rsid w:val="1A045B87"/>
    <w:rsid w:val="1A210157"/>
    <w:rsid w:val="1A365F00"/>
    <w:rsid w:val="1A484A02"/>
    <w:rsid w:val="1A4D1CE1"/>
    <w:rsid w:val="1A5760FC"/>
    <w:rsid w:val="1A5B0C0F"/>
    <w:rsid w:val="1A5F7253"/>
    <w:rsid w:val="1A623B3F"/>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7F07"/>
    <w:rsid w:val="1BAA3905"/>
    <w:rsid w:val="1BB01F6E"/>
    <w:rsid w:val="1BB81DD8"/>
    <w:rsid w:val="1BB848C7"/>
    <w:rsid w:val="1BB86F3A"/>
    <w:rsid w:val="1BCA7505"/>
    <w:rsid w:val="1BD91032"/>
    <w:rsid w:val="1BEF7D4B"/>
    <w:rsid w:val="1BF109A5"/>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D7D6D"/>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2A014A"/>
    <w:rsid w:val="1F303EA7"/>
    <w:rsid w:val="1F30637A"/>
    <w:rsid w:val="1F3111CE"/>
    <w:rsid w:val="1F3C6AF7"/>
    <w:rsid w:val="1F405E44"/>
    <w:rsid w:val="1F437234"/>
    <w:rsid w:val="1F4A3D83"/>
    <w:rsid w:val="1F4E681F"/>
    <w:rsid w:val="1F5324C1"/>
    <w:rsid w:val="1F561E2A"/>
    <w:rsid w:val="1F5E088A"/>
    <w:rsid w:val="1F661994"/>
    <w:rsid w:val="1F672A0E"/>
    <w:rsid w:val="1F6833F6"/>
    <w:rsid w:val="1F68659A"/>
    <w:rsid w:val="1F7959F4"/>
    <w:rsid w:val="1F7C19E4"/>
    <w:rsid w:val="1F820A7A"/>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953CC"/>
    <w:rsid w:val="201C304F"/>
    <w:rsid w:val="201C690F"/>
    <w:rsid w:val="20275ED1"/>
    <w:rsid w:val="203756C6"/>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AD10C2"/>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61B20"/>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11795"/>
    <w:rsid w:val="22446E5E"/>
    <w:rsid w:val="224E39DE"/>
    <w:rsid w:val="224E74D0"/>
    <w:rsid w:val="225C1E49"/>
    <w:rsid w:val="225F3528"/>
    <w:rsid w:val="22713317"/>
    <w:rsid w:val="227F5037"/>
    <w:rsid w:val="228041D7"/>
    <w:rsid w:val="22825DC1"/>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3FE0F6E"/>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9D1CC1"/>
    <w:rsid w:val="25A77DD4"/>
    <w:rsid w:val="25AE0C1E"/>
    <w:rsid w:val="25BB6C64"/>
    <w:rsid w:val="25C87522"/>
    <w:rsid w:val="25C97301"/>
    <w:rsid w:val="25CC4C1C"/>
    <w:rsid w:val="25CD7961"/>
    <w:rsid w:val="25D64403"/>
    <w:rsid w:val="25E778CB"/>
    <w:rsid w:val="25EB7CD4"/>
    <w:rsid w:val="25F04B7D"/>
    <w:rsid w:val="25F51596"/>
    <w:rsid w:val="25F67042"/>
    <w:rsid w:val="260A55DA"/>
    <w:rsid w:val="260B255C"/>
    <w:rsid w:val="2611495B"/>
    <w:rsid w:val="2618762A"/>
    <w:rsid w:val="26217848"/>
    <w:rsid w:val="262E20E8"/>
    <w:rsid w:val="262E34C1"/>
    <w:rsid w:val="263C4376"/>
    <w:rsid w:val="263E0775"/>
    <w:rsid w:val="2640682F"/>
    <w:rsid w:val="26472F6E"/>
    <w:rsid w:val="264F2FA3"/>
    <w:rsid w:val="26510DB8"/>
    <w:rsid w:val="26531A21"/>
    <w:rsid w:val="265B7D89"/>
    <w:rsid w:val="26626905"/>
    <w:rsid w:val="26667EB2"/>
    <w:rsid w:val="266B1FB8"/>
    <w:rsid w:val="266D433D"/>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142DF"/>
    <w:rsid w:val="27C66099"/>
    <w:rsid w:val="27CA7CDA"/>
    <w:rsid w:val="27FE4240"/>
    <w:rsid w:val="280008FF"/>
    <w:rsid w:val="28050D91"/>
    <w:rsid w:val="280B0292"/>
    <w:rsid w:val="281035C6"/>
    <w:rsid w:val="28140E2A"/>
    <w:rsid w:val="28255041"/>
    <w:rsid w:val="28372094"/>
    <w:rsid w:val="283832F0"/>
    <w:rsid w:val="283A1E3E"/>
    <w:rsid w:val="284543A1"/>
    <w:rsid w:val="28553E1D"/>
    <w:rsid w:val="28693318"/>
    <w:rsid w:val="286B3B61"/>
    <w:rsid w:val="28765DD5"/>
    <w:rsid w:val="28821314"/>
    <w:rsid w:val="2891501A"/>
    <w:rsid w:val="28937E6D"/>
    <w:rsid w:val="28A66523"/>
    <w:rsid w:val="28AD2029"/>
    <w:rsid w:val="28AE4FA7"/>
    <w:rsid w:val="28B220F4"/>
    <w:rsid w:val="28BA5C2F"/>
    <w:rsid w:val="28BD44AE"/>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3E4E93"/>
    <w:rsid w:val="29425246"/>
    <w:rsid w:val="2946144E"/>
    <w:rsid w:val="2946760C"/>
    <w:rsid w:val="294A5BC8"/>
    <w:rsid w:val="29504176"/>
    <w:rsid w:val="29573463"/>
    <w:rsid w:val="296865F6"/>
    <w:rsid w:val="296B20A7"/>
    <w:rsid w:val="297D1A8B"/>
    <w:rsid w:val="29981CF5"/>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5A4291"/>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F26C8"/>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86C09"/>
    <w:rsid w:val="2B795BD8"/>
    <w:rsid w:val="2B8759DF"/>
    <w:rsid w:val="2B8B34AB"/>
    <w:rsid w:val="2B914C5E"/>
    <w:rsid w:val="2BA252E6"/>
    <w:rsid w:val="2BA53554"/>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5252B"/>
    <w:rsid w:val="2CFD5C64"/>
    <w:rsid w:val="2D0128E8"/>
    <w:rsid w:val="2D0450C7"/>
    <w:rsid w:val="2D0C5A2F"/>
    <w:rsid w:val="2D0E231B"/>
    <w:rsid w:val="2D145154"/>
    <w:rsid w:val="2D1A1A6B"/>
    <w:rsid w:val="2D1A4915"/>
    <w:rsid w:val="2D306B85"/>
    <w:rsid w:val="2D31625C"/>
    <w:rsid w:val="2D323D75"/>
    <w:rsid w:val="2D400A9F"/>
    <w:rsid w:val="2D540857"/>
    <w:rsid w:val="2D590555"/>
    <w:rsid w:val="2D726428"/>
    <w:rsid w:val="2D7A06F1"/>
    <w:rsid w:val="2D8151A4"/>
    <w:rsid w:val="2D89535E"/>
    <w:rsid w:val="2DA02E9C"/>
    <w:rsid w:val="2DBB1852"/>
    <w:rsid w:val="2DBF0C3E"/>
    <w:rsid w:val="2DBF1601"/>
    <w:rsid w:val="2DBF4C3A"/>
    <w:rsid w:val="2DC464AC"/>
    <w:rsid w:val="2DD06AF3"/>
    <w:rsid w:val="2DDD1D4C"/>
    <w:rsid w:val="2DF04CFF"/>
    <w:rsid w:val="2DF6091F"/>
    <w:rsid w:val="2DF6248B"/>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27B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D28DE"/>
    <w:rsid w:val="2F5E1A24"/>
    <w:rsid w:val="2F5E4998"/>
    <w:rsid w:val="2F615954"/>
    <w:rsid w:val="2F6324D7"/>
    <w:rsid w:val="2F712CF7"/>
    <w:rsid w:val="2F805714"/>
    <w:rsid w:val="2F810496"/>
    <w:rsid w:val="2F8640C4"/>
    <w:rsid w:val="2F8E5F5C"/>
    <w:rsid w:val="2F921FAC"/>
    <w:rsid w:val="2FA21231"/>
    <w:rsid w:val="2FAD4759"/>
    <w:rsid w:val="2FAD5866"/>
    <w:rsid w:val="2FB91323"/>
    <w:rsid w:val="2FCA0967"/>
    <w:rsid w:val="2FD84674"/>
    <w:rsid w:val="2FDB17E1"/>
    <w:rsid w:val="2FE20568"/>
    <w:rsid w:val="2FE37171"/>
    <w:rsid w:val="2FE51747"/>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8018A6"/>
    <w:rsid w:val="30804E19"/>
    <w:rsid w:val="3090288F"/>
    <w:rsid w:val="309B0CFB"/>
    <w:rsid w:val="309B2EEC"/>
    <w:rsid w:val="309E4272"/>
    <w:rsid w:val="30AE56DC"/>
    <w:rsid w:val="30B7307E"/>
    <w:rsid w:val="30BD32AE"/>
    <w:rsid w:val="30C21A0E"/>
    <w:rsid w:val="30DC45E8"/>
    <w:rsid w:val="30DD6027"/>
    <w:rsid w:val="30DE16AB"/>
    <w:rsid w:val="30E1221A"/>
    <w:rsid w:val="30E734EF"/>
    <w:rsid w:val="30F24AB3"/>
    <w:rsid w:val="30F44A95"/>
    <w:rsid w:val="30F77A62"/>
    <w:rsid w:val="30F77A98"/>
    <w:rsid w:val="30FA21D8"/>
    <w:rsid w:val="30FC2A23"/>
    <w:rsid w:val="31197ABC"/>
    <w:rsid w:val="311D5B14"/>
    <w:rsid w:val="312D1F98"/>
    <w:rsid w:val="312F4EA9"/>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CE71F4"/>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84B77"/>
    <w:rsid w:val="345A7367"/>
    <w:rsid w:val="345D2CD0"/>
    <w:rsid w:val="346447EF"/>
    <w:rsid w:val="346C0AEA"/>
    <w:rsid w:val="3473748E"/>
    <w:rsid w:val="347F540F"/>
    <w:rsid w:val="34863322"/>
    <w:rsid w:val="34885DB3"/>
    <w:rsid w:val="348F7A0E"/>
    <w:rsid w:val="349A0B7D"/>
    <w:rsid w:val="34A851E8"/>
    <w:rsid w:val="34AC7D35"/>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F5B5B"/>
    <w:rsid w:val="35C154C0"/>
    <w:rsid w:val="35C7584B"/>
    <w:rsid w:val="35D31DE1"/>
    <w:rsid w:val="35D801CA"/>
    <w:rsid w:val="35DD2AEE"/>
    <w:rsid w:val="35EA6509"/>
    <w:rsid w:val="35ED04DC"/>
    <w:rsid w:val="35F44E5C"/>
    <w:rsid w:val="35F45994"/>
    <w:rsid w:val="3602050E"/>
    <w:rsid w:val="360F5CD8"/>
    <w:rsid w:val="36101A49"/>
    <w:rsid w:val="36163688"/>
    <w:rsid w:val="361A2F27"/>
    <w:rsid w:val="36265F04"/>
    <w:rsid w:val="36266913"/>
    <w:rsid w:val="36297754"/>
    <w:rsid w:val="363210F7"/>
    <w:rsid w:val="363F4D43"/>
    <w:rsid w:val="3640112F"/>
    <w:rsid w:val="364044DE"/>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2E6E94"/>
    <w:rsid w:val="37357964"/>
    <w:rsid w:val="373D6F58"/>
    <w:rsid w:val="37446333"/>
    <w:rsid w:val="37446A77"/>
    <w:rsid w:val="374D0B20"/>
    <w:rsid w:val="375153DD"/>
    <w:rsid w:val="37557969"/>
    <w:rsid w:val="375D4473"/>
    <w:rsid w:val="37615F3C"/>
    <w:rsid w:val="3765305E"/>
    <w:rsid w:val="376B106B"/>
    <w:rsid w:val="377963D6"/>
    <w:rsid w:val="37840F0B"/>
    <w:rsid w:val="378772DD"/>
    <w:rsid w:val="378A731A"/>
    <w:rsid w:val="378E3617"/>
    <w:rsid w:val="37931A90"/>
    <w:rsid w:val="37A4082B"/>
    <w:rsid w:val="37A4627C"/>
    <w:rsid w:val="37A530D5"/>
    <w:rsid w:val="37A643C8"/>
    <w:rsid w:val="37AE534B"/>
    <w:rsid w:val="37AE784E"/>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02AB"/>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A17CB"/>
    <w:rsid w:val="393F6CD7"/>
    <w:rsid w:val="39457868"/>
    <w:rsid w:val="394935B8"/>
    <w:rsid w:val="394C557A"/>
    <w:rsid w:val="3952190F"/>
    <w:rsid w:val="39535EDB"/>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04D52"/>
    <w:rsid w:val="3A026596"/>
    <w:rsid w:val="3A082ABE"/>
    <w:rsid w:val="3A0E766B"/>
    <w:rsid w:val="3A181AC2"/>
    <w:rsid w:val="3A1A155D"/>
    <w:rsid w:val="3A237175"/>
    <w:rsid w:val="3A443D4B"/>
    <w:rsid w:val="3A616CAD"/>
    <w:rsid w:val="3A624C17"/>
    <w:rsid w:val="3A711C68"/>
    <w:rsid w:val="3A7927E8"/>
    <w:rsid w:val="3A796E46"/>
    <w:rsid w:val="3A8B3C77"/>
    <w:rsid w:val="3A971F5B"/>
    <w:rsid w:val="3A9A224E"/>
    <w:rsid w:val="3A9C1F8C"/>
    <w:rsid w:val="3A9D2551"/>
    <w:rsid w:val="3AA15A8E"/>
    <w:rsid w:val="3AA90278"/>
    <w:rsid w:val="3AA97F70"/>
    <w:rsid w:val="3AAC45FD"/>
    <w:rsid w:val="3AAF1C9B"/>
    <w:rsid w:val="3AB26A14"/>
    <w:rsid w:val="3AB94248"/>
    <w:rsid w:val="3ABE76C3"/>
    <w:rsid w:val="3ABF42F5"/>
    <w:rsid w:val="3ACA01B2"/>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D5003"/>
    <w:rsid w:val="3C2E7A2D"/>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670E"/>
    <w:rsid w:val="3D4D7CF8"/>
    <w:rsid w:val="3D577837"/>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A22306"/>
    <w:rsid w:val="3DB17297"/>
    <w:rsid w:val="3DBA7875"/>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2F01F0"/>
    <w:rsid w:val="3F3C6744"/>
    <w:rsid w:val="3F421D47"/>
    <w:rsid w:val="3F441B08"/>
    <w:rsid w:val="3F4A4087"/>
    <w:rsid w:val="3F5361F5"/>
    <w:rsid w:val="3F556D23"/>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47043"/>
    <w:rsid w:val="406D461C"/>
    <w:rsid w:val="406F7D87"/>
    <w:rsid w:val="407A5C6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E2D90"/>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350EA"/>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24D6B"/>
    <w:rsid w:val="4295760D"/>
    <w:rsid w:val="429A29B1"/>
    <w:rsid w:val="429C1606"/>
    <w:rsid w:val="42A67B62"/>
    <w:rsid w:val="42A87389"/>
    <w:rsid w:val="42B63D6B"/>
    <w:rsid w:val="42C5796D"/>
    <w:rsid w:val="42D67001"/>
    <w:rsid w:val="42D85C37"/>
    <w:rsid w:val="42E06A10"/>
    <w:rsid w:val="42F875D5"/>
    <w:rsid w:val="43052343"/>
    <w:rsid w:val="430A5FFD"/>
    <w:rsid w:val="43112BE5"/>
    <w:rsid w:val="43120C73"/>
    <w:rsid w:val="431B56C6"/>
    <w:rsid w:val="431C7B04"/>
    <w:rsid w:val="432466AA"/>
    <w:rsid w:val="432E5E21"/>
    <w:rsid w:val="43325652"/>
    <w:rsid w:val="4334749B"/>
    <w:rsid w:val="433C41B8"/>
    <w:rsid w:val="433D2335"/>
    <w:rsid w:val="433F57C3"/>
    <w:rsid w:val="43426A44"/>
    <w:rsid w:val="434660C5"/>
    <w:rsid w:val="435B040D"/>
    <w:rsid w:val="43605DCC"/>
    <w:rsid w:val="43614CEE"/>
    <w:rsid w:val="4362104C"/>
    <w:rsid w:val="43621947"/>
    <w:rsid w:val="4363090C"/>
    <w:rsid w:val="43664819"/>
    <w:rsid w:val="436A2192"/>
    <w:rsid w:val="436C40C2"/>
    <w:rsid w:val="438B6310"/>
    <w:rsid w:val="438D15CA"/>
    <w:rsid w:val="439322F0"/>
    <w:rsid w:val="43964600"/>
    <w:rsid w:val="4397231A"/>
    <w:rsid w:val="439C3431"/>
    <w:rsid w:val="439D0E7C"/>
    <w:rsid w:val="43A26A83"/>
    <w:rsid w:val="43A41643"/>
    <w:rsid w:val="43C0281C"/>
    <w:rsid w:val="43C02B26"/>
    <w:rsid w:val="43C84A36"/>
    <w:rsid w:val="43D10A40"/>
    <w:rsid w:val="43D67A91"/>
    <w:rsid w:val="43E21F58"/>
    <w:rsid w:val="43E35EF0"/>
    <w:rsid w:val="43EA6D2F"/>
    <w:rsid w:val="43EC2F37"/>
    <w:rsid w:val="43F76F69"/>
    <w:rsid w:val="43F90FED"/>
    <w:rsid w:val="43FC0DB2"/>
    <w:rsid w:val="44095B4D"/>
    <w:rsid w:val="440C5D56"/>
    <w:rsid w:val="44153F0C"/>
    <w:rsid w:val="44174583"/>
    <w:rsid w:val="441A5200"/>
    <w:rsid w:val="441B44A0"/>
    <w:rsid w:val="4425456D"/>
    <w:rsid w:val="44336EAB"/>
    <w:rsid w:val="44393BD3"/>
    <w:rsid w:val="443E61A7"/>
    <w:rsid w:val="444109FB"/>
    <w:rsid w:val="44416F50"/>
    <w:rsid w:val="444E22EA"/>
    <w:rsid w:val="44584267"/>
    <w:rsid w:val="44705173"/>
    <w:rsid w:val="44740841"/>
    <w:rsid w:val="4476407C"/>
    <w:rsid w:val="447B4A66"/>
    <w:rsid w:val="447D4136"/>
    <w:rsid w:val="448B5845"/>
    <w:rsid w:val="448C73DD"/>
    <w:rsid w:val="44907237"/>
    <w:rsid w:val="449510AA"/>
    <w:rsid w:val="4499566C"/>
    <w:rsid w:val="449D7968"/>
    <w:rsid w:val="44A05997"/>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13168"/>
    <w:rsid w:val="45446179"/>
    <w:rsid w:val="454E0AAC"/>
    <w:rsid w:val="454E4F75"/>
    <w:rsid w:val="454E6B7A"/>
    <w:rsid w:val="4551463D"/>
    <w:rsid w:val="45520426"/>
    <w:rsid w:val="45522E35"/>
    <w:rsid w:val="455A7708"/>
    <w:rsid w:val="456C4CA4"/>
    <w:rsid w:val="457736FF"/>
    <w:rsid w:val="45790DCE"/>
    <w:rsid w:val="457E31A2"/>
    <w:rsid w:val="458B37F8"/>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C173E"/>
    <w:rsid w:val="46DD1D17"/>
    <w:rsid w:val="46E1018C"/>
    <w:rsid w:val="46E53AB0"/>
    <w:rsid w:val="46F37479"/>
    <w:rsid w:val="46FC2FE8"/>
    <w:rsid w:val="47033281"/>
    <w:rsid w:val="47065799"/>
    <w:rsid w:val="47073BE8"/>
    <w:rsid w:val="470872CF"/>
    <w:rsid w:val="470D53CA"/>
    <w:rsid w:val="471563E1"/>
    <w:rsid w:val="47167C67"/>
    <w:rsid w:val="472526D7"/>
    <w:rsid w:val="47333B1B"/>
    <w:rsid w:val="47351654"/>
    <w:rsid w:val="473D0BD8"/>
    <w:rsid w:val="47430FC9"/>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8122E"/>
    <w:rsid w:val="47E9396D"/>
    <w:rsid w:val="47EB0853"/>
    <w:rsid w:val="47EB5BFA"/>
    <w:rsid w:val="47FA20F9"/>
    <w:rsid w:val="47FF3A74"/>
    <w:rsid w:val="48013723"/>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80C3A"/>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11638"/>
    <w:rsid w:val="49D93C20"/>
    <w:rsid w:val="49DA3FD3"/>
    <w:rsid w:val="49DA7AB7"/>
    <w:rsid w:val="49E028D9"/>
    <w:rsid w:val="49E46DD1"/>
    <w:rsid w:val="49FA57FE"/>
    <w:rsid w:val="4A0238A8"/>
    <w:rsid w:val="4A0573EC"/>
    <w:rsid w:val="4A06116C"/>
    <w:rsid w:val="4A070E8E"/>
    <w:rsid w:val="4A09499E"/>
    <w:rsid w:val="4A14785B"/>
    <w:rsid w:val="4A2E7749"/>
    <w:rsid w:val="4A381BA6"/>
    <w:rsid w:val="4A3926E2"/>
    <w:rsid w:val="4A4172CE"/>
    <w:rsid w:val="4A43236C"/>
    <w:rsid w:val="4A4A176A"/>
    <w:rsid w:val="4A5370A6"/>
    <w:rsid w:val="4A5C4447"/>
    <w:rsid w:val="4A5C6983"/>
    <w:rsid w:val="4A6C0FC7"/>
    <w:rsid w:val="4A6D7FF3"/>
    <w:rsid w:val="4A7115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449F3"/>
    <w:rsid w:val="4AC860DD"/>
    <w:rsid w:val="4AD162A8"/>
    <w:rsid w:val="4AD25C89"/>
    <w:rsid w:val="4AD768C6"/>
    <w:rsid w:val="4ADB33D1"/>
    <w:rsid w:val="4AE0796F"/>
    <w:rsid w:val="4AE30444"/>
    <w:rsid w:val="4AE31B85"/>
    <w:rsid w:val="4AEF0F11"/>
    <w:rsid w:val="4AF902F5"/>
    <w:rsid w:val="4AF94D42"/>
    <w:rsid w:val="4B0107DC"/>
    <w:rsid w:val="4B183767"/>
    <w:rsid w:val="4B193165"/>
    <w:rsid w:val="4B205D7D"/>
    <w:rsid w:val="4B28587C"/>
    <w:rsid w:val="4B292683"/>
    <w:rsid w:val="4B294B4F"/>
    <w:rsid w:val="4B294C7C"/>
    <w:rsid w:val="4B2F376B"/>
    <w:rsid w:val="4B376E2E"/>
    <w:rsid w:val="4B385AE2"/>
    <w:rsid w:val="4B387AC6"/>
    <w:rsid w:val="4B3D5656"/>
    <w:rsid w:val="4B3F4861"/>
    <w:rsid w:val="4B4C459F"/>
    <w:rsid w:val="4B50566A"/>
    <w:rsid w:val="4B53122B"/>
    <w:rsid w:val="4B554A8F"/>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B4E89"/>
    <w:rsid w:val="4C0236B4"/>
    <w:rsid w:val="4C0C091F"/>
    <w:rsid w:val="4C1603BB"/>
    <w:rsid w:val="4C170C9D"/>
    <w:rsid w:val="4C192F75"/>
    <w:rsid w:val="4C1C0BD6"/>
    <w:rsid w:val="4C1E085C"/>
    <w:rsid w:val="4C1E7AAC"/>
    <w:rsid w:val="4C20259F"/>
    <w:rsid w:val="4C2840CB"/>
    <w:rsid w:val="4C312ECF"/>
    <w:rsid w:val="4C330108"/>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821EA"/>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C31B92"/>
    <w:rsid w:val="4DD4381D"/>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76F95"/>
    <w:rsid w:val="4E587463"/>
    <w:rsid w:val="4E5A3449"/>
    <w:rsid w:val="4E68543B"/>
    <w:rsid w:val="4E6906EE"/>
    <w:rsid w:val="4E694E99"/>
    <w:rsid w:val="4E6D1740"/>
    <w:rsid w:val="4E7125DA"/>
    <w:rsid w:val="4E795FE9"/>
    <w:rsid w:val="4E797F06"/>
    <w:rsid w:val="4E8C451A"/>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1F332C"/>
    <w:rsid w:val="502751AB"/>
    <w:rsid w:val="502C4247"/>
    <w:rsid w:val="502D25A0"/>
    <w:rsid w:val="502D660A"/>
    <w:rsid w:val="50347D28"/>
    <w:rsid w:val="50363B3A"/>
    <w:rsid w:val="503D2073"/>
    <w:rsid w:val="503D5373"/>
    <w:rsid w:val="504261AC"/>
    <w:rsid w:val="504311C0"/>
    <w:rsid w:val="504B1149"/>
    <w:rsid w:val="5052029B"/>
    <w:rsid w:val="50555E38"/>
    <w:rsid w:val="505F1426"/>
    <w:rsid w:val="506309DB"/>
    <w:rsid w:val="5065150D"/>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6421FE"/>
    <w:rsid w:val="517C0CA0"/>
    <w:rsid w:val="517F00BC"/>
    <w:rsid w:val="51861BC2"/>
    <w:rsid w:val="5188076F"/>
    <w:rsid w:val="5195533B"/>
    <w:rsid w:val="519645E3"/>
    <w:rsid w:val="5199124A"/>
    <w:rsid w:val="519D2F03"/>
    <w:rsid w:val="51AA14F5"/>
    <w:rsid w:val="51AD6F40"/>
    <w:rsid w:val="51BE2EAE"/>
    <w:rsid w:val="51C0716E"/>
    <w:rsid w:val="51C24631"/>
    <w:rsid w:val="51D43598"/>
    <w:rsid w:val="51DA51E8"/>
    <w:rsid w:val="51DA5890"/>
    <w:rsid w:val="51E90CD5"/>
    <w:rsid w:val="51EB1723"/>
    <w:rsid w:val="51EE7B3E"/>
    <w:rsid w:val="51F51BD1"/>
    <w:rsid w:val="51F96848"/>
    <w:rsid w:val="51FB40B5"/>
    <w:rsid w:val="52073487"/>
    <w:rsid w:val="520A7B89"/>
    <w:rsid w:val="520E648E"/>
    <w:rsid w:val="521C5D43"/>
    <w:rsid w:val="521D7ED7"/>
    <w:rsid w:val="522B3959"/>
    <w:rsid w:val="5239194F"/>
    <w:rsid w:val="52612620"/>
    <w:rsid w:val="526478E1"/>
    <w:rsid w:val="526A546C"/>
    <w:rsid w:val="52790FD9"/>
    <w:rsid w:val="52887A7D"/>
    <w:rsid w:val="52894DE6"/>
    <w:rsid w:val="528A01FA"/>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03007"/>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8695B"/>
    <w:rsid w:val="54860559"/>
    <w:rsid w:val="548810E8"/>
    <w:rsid w:val="54906088"/>
    <w:rsid w:val="54907EF0"/>
    <w:rsid w:val="549438A5"/>
    <w:rsid w:val="549C6534"/>
    <w:rsid w:val="54A14490"/>
    <w:rsid w:val="54A153FA"/>
    <w:rsid w:val="54AB29C5"/>
    <w:rsid w:val="54AB36A1"/>
    <w:rsid w:val="54B171C4"/>
    <w:rsid w:val="54B51471"/>
    <w:rsid w:val="54B61DA8"/>
    <w:rsid w:val="54B62C99"/>
    <w:rsid w:val="54CC47C4"/>
    <w:rsid w:val="54DF688B"/>
    <w:rsid w:val="54E95643"/>
    <w:rsid w:val="550E6C32"/>
    <w:rsid w:val="551C2E90"/>
    <w:rsid w:val="55225A8C"/>
    <w:rsid w:val="552D52C7"/>
    <w:rsid w:val="554E0863"/>
    <w:rsid w:val="555737A6"/>
    <w:rsid w:val="55577AFF"/>
    <w:rsid w:val="55611FED"/>
    <w:rsid w:val="556C1CC4"/>
    <w:rsid w:val="55712540"/>
    <w:rsid w:val="55743D64"/>
    <w:rsid w:val="5577741D"/>
    <w:rsid w:val="558126EC"/>
    <w:rsid w:val="55851522"/>
    <w:rsid w:val="55883323"/>
    <w:rsid w:val="55883669"/>
    <w:rsid w:val="55894919"/>
    <w:rsid w:val="558A44CE"/>
    <w:rsid w:val="558E040C"/>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558AA"/>
    <w:rsid w:val="5609174E"/>
    <w:rsid w:val="56214A7B"/>
    <w:rsid w:val="562E1F90"/>
    <w:rsid w:val="56373380"/>
    <w:rsid w:val="563B616D"/>
    <w:rsid w:val="563F47CE"/>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05A8A"/>
    <w:rsid w:val="57012351"/>
    <w:rsid w:val="57095761"/>
    <w:rsid w:val="571777C3"/>
    <w:rsid w:val="571B1F7E"/>
    <w:rsid w:val="571D34AC"/>
    <w:rsid w:val="57292292"/>
    <w:rsid w:val="572E4793"/>
    <w:rsid w:val="572E7E52"/>
    <w:rsid w:val="57315B06"/>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9F309F"/>
    <w:rsid w:val="57A46FEE"/>
    <w:rsid w:val="57A653A5"/>
    <w:rsid w:val="57AF7168"/>
    <w:rsid w:val="57B02763"/>
    <w:rsid w:val="57B6547E"/>
    <w:rsid w:val="57BC7C9C"/>
    <w:rsid w:val="57BF6387"/>
    <w:rsid w:val="57D01AAC"/>
    <w:rsid w:val="57DA0D38"/>
    <w:rsid w:val="57DD4E33"/>
    <w:rsid w:val="57DE0A52"/>
    <w:rsid w:val="57DF6500"/>
    <w:rsid w:val="57E60B9B"/>
    <w:rsid w:val="57E73B61"/>
    <w:rsid w:val="57F01737"/>
    <w:rsid w:val="57F73696"/>
    <w:rsid w:val="58005923"/>
    <w:rsid w:val="5803475B"/>
    <w:rsid w:val="580A6FBE"/>
    <w:rsid w:val="580F5BC1"/>
    <w:rsid w:val="58153B58"/>
    <w:rsid w:val="5822786C"/>
    <w:rsid w:val="58243371"/>
    <w:rsid w:val="58293CFC"/>
    <w:rsid w:val="58302962"/>
    <w:rsid w:val="5835010B"/>
    <w:rsid w:val="58455FEB"/>
    <w:rsid w:val="5846366F"/>
    <w:rsid w:val="584654C9"/>
    <w:rsid w:val="58470241"/>
    <w:rsid w:val="58484F55"/>
    <w:rsid w:val="58563BF0"/>
    <w:rsid w:val="58590DD2"/>
    <w:rsid w:val="5863473D"/>
    <w:rsid w:val="586C2A31"/>
    <w:rsid w:val="586E1447"/>
    <w:rsid w:val="58780243"/>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13252F"/>
    <w:rsid w:val="591640B2"/>
    <w:rsid w:val="59267EF0"/>
    <w:rsid w:val="59376E4C"/>
    <w:rsid w:val="59421F7E"/>
    <w:rsid w:val="59424509"/>
    <w:rsid w:val="594935F2"/>
    <w:rsid w:val="594A7C70"/>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04CD"/>
    <w:rsid w:val="5A1215B1"/>
    <w:rsid w:val="5A1D0AF2"/>
    <w:rsid w:val="5A1E6A9C"/>
    <w:rsid w:val="5A1F5196"/>
    <w:rsid w:val="5A227353"/>
    <w:rsid w:val="5A265096"/>
    <w:rsid w:val="5A2943A6"/>
    <w:rsid w:val="5A2A6592"/>
    <w:rsid w:val="5A2D0557"/>
    <w:rsid w:val="5A340B09"/>
    <w:rsid w:val="5A3A7174"/>
    <w:rsid w:val="5A3D1E7F"/>
    <w:rsid w:val="5A3F3527"/>
    <w:rsid w:val="5A440B9D"/>
    <w:rsid w:val="5A4907B6"/>
    <w:rsid w:val="5A5128C3"/>
    <w:rsid w:val="5A525A46"/>
    <w:rsid w:val="5A575C31"/>
    <w:rsid w:val="5A5C7772"/>
    <w:rsid w:val="5A6169CB"/>
    <w:rsid w:val="5A6336A1"/>
    <w:rsid w:val="5A6B7C88"/>
    <w:rsid w:val="5A6F5AD1"/>
    <w:rsid w:val="5A73612A"/>
    <w:rsid w:val="5A7A71EC"/>
    <w:rsid w:val="5A7F6F98"/>
    <w:rsid w:val="5A8F76C1"/>
    <w:rsid w:val="5A921A04"/>
    <w:rsid w:val="5A9A0A66"/>
    <w:rsid w:val="5AA541CF"/>
    <w:rsid w:val="5AAF48E4"/>
    <w:rsid w:val="5AB96041"/>
    <w:rsid w:val="5ABC4831"/>
    <w:rsid w:val="5ABC6BFA"/>
    <w:rsid w:val="5AC366EB"/>
    <w:rsid w:val="5AC43AE0"/>
    <w:rsid w:val="5AC4427C"/>
    <w:rsid w:val="5AD054B7"/>
    <w:rsid w:val="5AD149C0"/>
    <w:rsid w:val="5AD20D04"/>
    <w:rsid w:val="5AD510F0"/>
    <w:rsid w:val="5AF82FCA"/>
    <w:rsid w:val="5AF8657A"/>
    <w:rsid w:val="5AFE5C3F"/>
    <w:rsid w:val="5B000850"/>
    <w:rsid w:val="5B187495"/>
    <w:rsid w:val="5B1945A0"/>
    <w:rsid w:val="5B1B10FA"/>
    <w:rsid w:val="5B1B5003"/>
    <w:rsid w:val="5B1E165C"/>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71382"/>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E2E8C"/>
    <w:rsid w:val="5DAE7F34"/>
    <w:rsid w:val="5DB65502"/>
    <w:rsid w:val="5DB906BB"/>
    <w:rsid w:val="5DC52001"/>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04967"/>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236B0"/>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053BF"/>
    <w:rsid w:val="61B33DDF"/>
    <w:rsid w:val="61BB4A1B"/>
    <w:rsid w:val="61BC23E5"/>
    <w:rsid w:val="61CD3107"/>
    <w:rsid w:val="61D21120"/>
    <w:rsid w:val="61DF159F"/>
    <w:rsid w:val="61E728F9"/>
    <w:rsid w:val="61F3667F"/>
    <w:rsid w:val="61F43F82"/>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B32A13"/>
    <w:rsid w:val="63C51AD9"/>
    <w:rsid w:val="63C54411"/>
    <w:rsid w:val="63C733FE"/>
    <w:rsid w:val="63CD27C8"/>
    <w:rsid w:val="63CD4C2D"/>
    <w:rsid w:val="63CF2629"/>
    <w:rsid w:val="63D40E51"/>
    <w:rsid w:val="63D85FCA"/>
    <w:rsid w:val="63E263F4"/>
    <w:rsid w:val="63E418C9"/>
    <w:rsid w:val="63F00E0C"/>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63035"/>
    <w:rsid w:val="64E76F6D"/>
    <w:rsid w:val="64EA4517"/>
    <w:rsid w:val="64FC561C"/>
    <w:rsid w:val="64FE0E31"/>
    <w:rsid w:val="65181463"/>
    <w:rsid w:val="651A5C6A"/>
    <w:rsid w:val="651C38DB"/>
    <w:rsid w:val="65201F4F"/>
    <w:rsid w:val="65204394"/>
    <w:rsid w:val="6522790C"/>
    <w:rsid w:val="6526740A"/>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91B5D"/>
    <w:rsid w:val="657F0CE6"/>
    <w:rsid w:val="65833C4F"/>
    <w:rsid w:val="658B37B6"/>
    <w:rsid w:val="6590595E"/>
    <w:rsid w:val="65972789"/>
    <w:rsid w:val="659C17EE"/>
    <w:rsid w:val="65A65E7D"/>
    <w:rsid w:val="65BC6E17"/>
    <w:rsid w:val="65BD3777"/>
    <w:rsid w:val="65BE5ECC"/>
    <w:rsid w:val="65C60B3B"/>
    <w:rsid w:val="65D64BB3"/>
    <w:rsid w:val="65D70270"/>
    <w:rsid w:val="65E91B08"/>
    <w:rsid w:val="65F5725F"/>
    <w:rsid w:val="66032E7B"/>
    <w:rsid w:val="66053581"/>
    <w:rsid w:val="660A19B0"/>
    <w:rsid w:val="661026AA"/>
    <w:rsid w:val="661635F6"/>
    <w:rsid w:val="661D3F49"/>
    <w:rsid w:val="66213A5C"/>
    <w:rsid w:val="6624683A"/>
    <w:rsid w:val="662D2EA4"/>
    <w:rsid w:val="662F2BB7"/>
    <w:rsid w:val="6631571B"/>
    <w:rsid w:val="663D054E"/>
    <w:rsid w:val="66460692"/>
    <w:rsid w:val="6658158E"/>
    <w:rsid w:val="66631FDD"/>
    <w:rsid w:val="666D2CD5"/>
    <w:rsid w:val="66727620"/>
    <w:rsid w:val="66763EED"/>
    <w:rsid w:val="667930F9"/>
    <w:rsid w:val="6679372B"/>
    <w:rsid w:val="667B3C56"/>
    <w:rsid w:val="66953491"/>
    <w:rsid w:val="66980BF6"/>
    <w:rsid w:val="66A56CDB"/>
    <w:rsid w:val="66AD65FC"/>
    <w:rsid w:val="66B12F82"/>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94C0A"/>
    <w:rsid w:val="675A17FE"/>
    <w:rsid w:val="67617AF0"/>
    <w:rsid w:val="6768655A"/>
    <w:rsid w:val="676E1585"/>
    <w:rsid w:val="67775952"/>
    <w:rsid w:val="677D1896"/>
    <w:rsid w:val="677E2FA1"/>
    <w:rsid w:val="67834615"/>
    <w:rsid w:val="67836FB1"/>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6A05B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C34DB9"/>
    <w:rsid w:val="68CB7D21"/>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60FD6"/>
    <w:rsid w:val="697D087B"/>
    <w:rsid w:val="69807B1E"/>
    <w:rsid w:val="699954D9"/>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1E085F"/>
    <w:rsid w:val="6A245089"/>
    <w:rsid w:val="6A25601C"/>
    <w:rsid w:val="6A2750C5"/>
    <w:rsid w:val="6A290AA5"/>
    <w:rsid w:val="6A2A46CE"/>
    <w:rsid w:val="6A2F521E"/>
    <w:rsid w:val="6A3A1167"/>
    <w:rsid w:val="6A3D030C"/>
    <w:rsid w:val="6A3F4FDB"/>
    <w:rsid w:val="6A532FF6"/>
    <w:rsid w:val="6A601C8F"/>
    <w:rsid w:val="6A657C7E"/>
    <w:rsid w:val="6A7174A5"/>
    <w:rsid w:val="6A72508F"/>
    <w:rsid w:val="6A732254"/>
    <w:rsid w:val="6A774894"/>
    <w:rsid w:val="6A80364F"/>
    <w:rsid w:val="6A870259"/>
    <w:rsid w:val="6A8C3EFF"/>
    <w:rsid w:val="6A916EED"/>
    <w:rsid w:val="6A9371B0"/>
    <w:rsid w:val="6A937D23"/>
    <w:rsid w:val="6A960003"/>
    <w:rsid w:val="6A9B5915"/>
    <w:rsid w:val="6A9B7735"/>
    <w:rsid w:val="6AA02774"/>
    <w:rsid w:val="6AA258AD"/>
    <w:rsid w:val="6AA41157"/>
    <w:rsid w:val="6AAF2259"/>
    <w:rsid w:val="6AB45A03"/>
    <w:rsid w:val="6ABC23C1"/>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8522E"/>
    <w:rsid w:val="6B21318E"/>
    <w:rsid w:val="6B285741"/>
    <w:rsid w:val="6B340EF1"/>
    <w:rsid w:val="6B36503B"/>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52856"/>
    <w:rsid w:val="6D4720E6"/>
    <w:rsid w:val="6D4A7F79"/>
    <w:rsid w:val="6D4B7436"/>
    <w:rsid w:val="6D593C7B"/>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AD5EA2"/>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63D0F"/>
    <w:rsid w:val="720979A0"/>
    <w:rsid w:val="720F633E"/>
    <w:rsid w:val="72130B93"/>
    <w:rsid w:val="721C688B"/>
    <w:rsid w:val="72200AF0"/>
    <w:rsid w:val="722E7DFE"/>
    <w:rsid w:val="7235246C"/>
    <w:rsid w:val="723749D7"/>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0B70D3"/>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32EB1"/>
    <w:rsid w:val="73CC082C"/>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B50EB"/>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A90F86"/>
    <w:rsid w:val="75C123A7"/>
    <w:rsid w:val="75C1550C"/>
    <w:rsid w:val="75CC74C8"/>
    <w:rsid w:val="75CD2584"/>
    <w:rsid w:val="75D1230F"/>
    <w:rsid w:val="75D357A7"/>
    <w:rsid w:val="75DB08A6"/>
    <w:rsid w:val="75E2330A"/>
    <w:rsid w:val="75E7499A"/>
    <w:rsid w:val="75ED57D6"/>
    <w:rsid w:val="75F75D00"/>
    <w:rsid w:val="75F8074C"/>
    <w:rsid w:val="7600209C"/>
    <w:rsid w:val="760049B0"/>
    <w:rsid w:val="7601310C"/>
    <w:rsid w:val="760200DC"/>
    <w:rsid w:val="760218FE"/>
    <w:rsid w:val="76041B1D"/>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BF7275"/>
    <w:rsid w:val="76C72CA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EC01E9"/>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41BF4"/>
    <w:rsid w:val="795A5499"/>
    <w:rsid w:val="796E35F2"/>
    <w:rsid w:val="7971290E"/>
    <w:rsid w:val="79762768"/>
    <w:rsid w:val="797951A9"/>
    <w:rsid w:val="7990174F"/>
    <w:rsid w:val="79A15149"/>
    <w:rsid w:val="79A37CCA"/>
    <w:rsid w:val="79A71C2E"/>
    <w:rsid w:val="79A74BCA"/>
    <w:rsid w:val="79AE39E9"/>
    <w:rsid w:val="79B57356"/>
    <w:rsid w:val="79B7161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10C61"/>
    <w:rsid w:val="7A262C2D"/>
    <w:rsid w:val="7A291938"/>
    <w:rsid w:val="7A3D7CC0"/>
    <w:rsid w:val="7A4006D3"/>
    <w:rsid w:val="7A4D07BA"/>
    <w:rsid w:val="7A5863D3"/>
    <w:rsid w:val="7A5C5FAF"/>
    <w:rsid w:val="7A634604"/>
    <w:rsid w:val="7A64499E"/>
    <w:rsid w:val="7A6656B6"/>
    <w:rsid w:val="7A723F72"/>
    <w:rsid w:val="7A743D9C"/>
    <w:rsid w:val="7A7737D6"/>
    <w:rsid w:val="7A7B2C10"/>
    <w:rsid w:val="7A7D4128"/>
    <w:rsid w:val="7A8075BA"/>
    <w:rsid w:val="7A820760"/>
    <w:rsid w:val="7A87742E"/>
    <w:rsid w:val="7A9123B7"/>
    <w:rsid w:val="7A9711EE"/>
    <w:rsid w:val="7A9A1B33"/>
    <w:rsid w:val="7A9C3E5C"/>
    <w:rsid w:val="7A9D1CEF"/>
    <w:rsid w:val="7AA16CBD"/>
    <w:rsid w:val="7AA5277A"/>
    <w:rsid w:val="7AA53E19"/>
    <w:rsid w:val="7AA952CF"/>
    <w:rsid w:val="7AAE678B"/>
    <w:rsid w:val="7AB07C78"/>
    <w:rsid w:val="7AB514B2"/>
    <w:rsid w:val="7ACA29DF"/>
    <w:rsid w:val="7ACD2D7F"/>
    <w:rsid w:val="7AD27B42"/>
    <w:rsid w:val="7AD53EC1"/>
    <w:rsid w:val="7AD84E14"/>
    <w:rsid w:val="7ADB474B"/>
    <w:rsid w:val="7ADB7F1A"/>
    <w:rsid w:val="7AE55787"/>
    <w:rsid w:val="7AE833BC"/>
    <w:rsid w:val="7AF91DAF"/>
    <w:rsid w:val="7AF9607E"/>
    <w:rsid w:val="7B032374"/>
    <w:rsid w:val="7B18546A"/>
    <w:rsid w:val="7B1B467F"/>
    <w:rsid w:val="7B1F59AA"/>
    <w:rsid w:val="7B214978"/>
    <w:rsid w:val="7B391012"/>
    <w:rsid w:val="7B4A5781"/>
    <w:rsid w:val="7B4E09BF"/>
    <w:rsid w:val="7B546C0C"/>
    <w:rsid w:val="7B585EAD"/>
    <w:rsid w:val="7B603C7C"/>
    <w:rsid w:val="7B65590F"/>
    <w:rsid w:val="7B6E2AB1"/>
    <w:rsid w:val="7B6F5E80"/>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5FE9"/>
    <w:rsid w:val="7C056E44"/>
    <w:rsid w:val="7C0F1C14"/>
    <w:rsid w:val="7C206952"/>
    <w:rsid w:val="7C2D1C60"/>
    <w:rsid w:val="7C3832F5"/>
    <w:rsid w:val="7C42281E"/>
    <w:rsid w:val="7C4317C6"/>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4551F"/>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6A634F"/>
    <w:rsid w:val="7D6D3260"/>
    <w:rsid w:val="7D7A555A"/>
    <w:rsid w:val="7D7F5298"/>
    <w:rsid w:val="7D8362BA"/>
    <w:rsid w:val="7D8B7B11"/>
    <w:rsid w:val="7DA843EE"/>
    <w:rsid w:val="7DAB10BD"/>
    <w:rsid w:val="7DB220AD"/>
    <w:rsid w:val="7DBF2E7A"/>
    <w:rsid w:val="7DCB617C"/>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B03C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5678"/>
    <w:rsid w:val="7F536DE1"/>
    <w:rsid w:val="7F6339F7"/>
    <w:rsid w:val="7F8660CD"/>
    <w:rsid w:val="7F8A2E2C"/>
    <w:rsid w:val="7F8C294A"/>
    <w:rsid w:val="7F963419"/>
    <w:rsid w:val="7FA069EC"/>
    <w:rsid w:val="7FD277AE"/>
    <w:rsid w:val="7FDA2CD0"/>
    <w:rsid w:val="7FDB769F"/>
    <w:rsid w:val="7FEC7AE0"/>
    <w:rsid w:val="7FEE568F"/>
    <w:rsid w:val="7FF10D9A"/>
    <w:rsid w:val="7FF3550B"/>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2022-11-07T14:03:41Z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